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60" w:lineRule="auto"/>
        <w:ind w:firstLine="562" w:firstLineChars="200"/>
        <w:rPr>
          <w:rFonts w:ascii="黑体" w:hAnsi="黑体" w:eastAsia="黑体"/>
          <w:b/>
          <w:sz w:val="28"/>
          <w:szCs w:val="24"/>
          <w:lang w:eastAsia="zh-CN"/>
        </w:rPr>
      </w:pPr>
      <w:r>
        <w:rPr>
          <w:rFonts w:ascii="黑体" w:hAnsi="黑体" w:eastAsia="黑体"/>
          <w:b/>
          <w:sz w:val="28"/>
          <w:szCs w:val="24"/>
          <w:lang w:eastAsia="zh-CN"/>
        </w:rPr>
        <w:t>合同号</w:t>
      </w:r>
      <w:r>
        <w:rPr>
          <w:rFonts w:hint="eastAsia" w:ascii="黑体" w:hAnsi="黑体" w:eastAsia="黑体"/>
          <w:b/>
          <w:sz w:val="28"/>
          <w:szCs w:val="24"/>
          <w:lang w:eastAsia="zh-CN"/>
        </w:rPr>
        <w:t xml:space="preserve">：     </w:t>
      </w:r>
    </w:p>
    <w:p>
      <w:pPr>
        <w:spacing w:after="0" w:line="360" w:lineRule="auto"/>
        <w:ind w:firstLine="562" w:firstLineChars="200"/>
        <w:rPr>
          <w:rFonts w:ascii="黑体" w:hAnsi="黑体" w:eastAsia="黑体"/>
          <w:b/>
          <w:sz w:val="28"/>
          <w:szCs w:val="24"/>
          <w:lang w:eastAsia="zh-CN"/>
        </w:rPr>
      </w:pPr>
    </w:p>
    <w:p>
      <w:pPr>
        <w:spacing w:line="560" w:lineRule="exact"/>
        <w:jc w:val="center"/>
        <w:rPr>
          <w:rFonts w:ascii="仿宋" w:hAnsi="仿宋" w:eastAsia="仿宋"/>
          <w:b/>
          <w:sz w:val="52"/>
          <w:szCs w:val="52"/>
          <w:lang w:eastAsia="zh-CN"/>
        </w:rPr>
      </w:pPr>
      <w:r>
        <w:rPr>
          <w:rFonts w:hint="eastAsia" w:ascii="仿宋" w:hAnsi="仿宋" w:eastAsia="仿宋"/>
          <w:b/>
          <w:sz w:val="52"/>
          <w:szCs w:val="52"/>
          <w:lang w:eastAsia="zh-CN"/>
        </w:rPr>
        <w:t>深圳市</w:t>
      </w:r>
      <w:r>
        <w:rPr>
          <w:rFonts w:ascii="仿宋" w:hAnsi="仿宋" w:eastAsia="仿宋"/>
          <w:b/>
          <w:sz w:val="52"/>
          <w:szCs w:val="52"/>
          <w:lang w:eastAsia="zh-CN"/>
        </w:rPr>
        <w:t>深汕特别合作区</w:t>
      </w:r>
    </w:p>
    <w:p>
      <w:pPr>
        <w:spacing w:line="560" w:lineRule="exact"/>
        <w:jc w:val="center"/>
        <w:rPr>
          <w:rFonts w:ascii="仿宋" w:hAnsi="仿宋" w:eastAsia="仿宋"/>
          <w:b/>
          <w:sz w:val="52"/>
          <w:szCs w:val="52"/>
          <w:lang w:eastAsia="zh-CN"/>
        </w:rPr>
      </w:pPr>
      <w:r>
        <w:rPr>
          <w:rFonts w:hint="eastAsia" w:ascii="仿宋" w:hAnsi="仿宋" w:eastAsia="仿宋"/>
          <w:b/>
          <w:sz w:val="52"/>
          <w:szCs w:val="52"/>
          <w:lang w:eastAsia="zh-CN"/>
        </w:rPr>
        <w:t>水库、河道管养劳务外包项目</w:t>
      </w:r>
    </w:p>
    <w:p>
      <w:pPr>
        <w:spacing w:line="560" w:lineRule="exact"/>
        <w:jc w:val="center"/>
        <w:rPr>
          <w:rFonts w:ascii="仿宋" w:hAnsi="仿宋" w:eastAsia="仿宋" w:cs="宋体"/>
          <w:b/>
          <w:sz w:val="52"/>
          <w:szCs w:val="52"/>
          <w:lang w:eastAsia="zh-CN"/>
        </w:rPr>
      </w:pPr>
      <w:r>
        <w:rPr>
          <w:rFonts w:hint="eastAsia" w:ascii="仿宋" w:hAnsi="仿宋" w:eastAsia="仿宋" w:cs="宋体"/>
          <w:b/>
          <w:sz w:val="52"/>
          <w:szCs w:val="52"/>
          <w:lang w:eastAsia="zh-CN"/>
        </w:rPr>
        <w:t>合同</w:t>
      </w:r>
      <w:r>
        <w:rPr>
          <w:rFonts w:hint="eastAsia" w:ascii="仿宋" w:hAnsi="仿宋" w:eastAsia="仿宋"/>
          <w:b/>
          <w:sz w:val="52"/>
          <w:szCs w:val="52"/>
          <w:lang w:eastAsia="zh-CN"/>
        </w:rPr>
        <w:t>（2022至2023年度）</w:t>
      </w:r>
    </w:p>
    <w:p>
      <w:pPr>
        <w:spacing w:line="560" w:lineRule="exact"/>
        <w:jc w:val="center"/>
        <w:rPr>
          <w:rFonts w:ascii="仿宋" w:hAnsi="仿宋" w:eastAsia="仿宋"/>
          <w:b/>
          <w:sz w:val="52"/>
          <w:szCs w:val="52"/>
          <w:lang w:eastAsia="zh-CN"/>
        </w:rPr>
      </w:pPr>
      <w:r>
        <w:rPr>
          <w:rFonts w:hint="eastAsia" w:ascii="仿宋" w:hAnsi="仿宋" w:eastAsia="仿宋"/>
          <w:b/>
          <w:sz w:val="52"/>
          <w:szCs w:val="52"/>
          <w:lang w:eastAsia="zh-CN"/>
        </w:rPr>
        <w:t>（五标段）</w:t>
      </w:r>
    </w:p>
    <w:p>
      <w:pPr>
        <w:ind w:left="620"/>
        <w:rPr>
          <w:rFonts w:ascii="楷体" w:hAnsi="楷体" w:eastAsia="楷体"/>
          <w:b/>
          <w:w w:val="95"/>
          <w:sz w:val="32"/>
          <w:szCs w:val="32"/>
          <w:lang w:eastAsia="zh-CN"/>
        </w:rPr>
      </w:pPr>
    </w:p>
    <w:p>
      <w:pPr>
        <w:rPr>
          <w:rFonts w:ascii="楷体" w:hAnsi="楷体" w:eastAsia="楷体"/>
          <w:b/>
          <w:w w:val="95"/>
          <w:sz w:val="32"/>
          <w:szCs w:val="32"/>
          <w:lang w:eastAsia="zh-CN"/>
        </w:rPr>
      </w:pPr>
    </w:p>
    <w:p>
      <w:pPr>
        <w:ind w:left="620"/>
        <w:rPr>
          <w:rFonts w:ascii="楷体" w:hAnsi="楷体" w:eastAsia="楷体"/>
          <w:b/>
          <w:w w:val="95"/>
          <w:sz w:val="32"/>
          <w:szCs w:val="32"/>
          <w:lang w:eastAsia="zh-CN"/>
        </w:rPr>
      </w:pPr>
    </w:p>
    <w:p>
      <w:pPr>
        <w:ind w:left="620"/>
        <w:rPr>
          <w:rFonts w:ascii="楷体" w:hAnsi="楷体" w:eastAsia="楷体"/>
          <w:b/>
          <w:w w:val="95"/>
          <w:sz w:val="32"/>
          <w:szCs w:val="32"/>
          <w:lang w:eastAsia="zh-CN"/>
        </w:rPr>
      </w:pPr>
    </w:p>
    <w:p>
      <w:pPr>
        <w:ind w:left="620"/>
        <w:rPr>
          <w:rFonts w:ascii="楷体" w:hAnsi="楷体" w:eastAsia="楷体"/>
          <w:b/>
          <w:w w:val="95"/>
          <w:sz w:val="32"/>
          <w:szCs w:val="32"/>
          <w:lang w:eastAsia="zh-CN"/>
        </w:rPr>
      </w:pPr>
    </w:p>
    <w:p>
      <w:pPr>
        <w:ind w:left="620"/>
        <w:rPr>
          <w:rFonts w:ascii="楷体" w:hAnsi="楷体" w:eastAsia="楷体"/>
          <w:b/>
          <w:w w:val="95"/>
          <w:sz w:val="32"/>
          <w:szCs w:val="32"/>
          <w:lang w:eastAsia="zh-CN"/>
        </w:rPr>
      </w:pPr>
    </w:p>
    <w:p>
      <w:pPr>
        <w:ind w:left="620"/>
        <w:rPr>
          <w:rFonts w:ascii="楷体" w:hAnsi="楷体" w:eastAsia="楷体"/>
          <w:b/>
          <w:w w:val="95"/>
          <w:sz w:val="32"/>
          <w:szCs w:val="32"/>
          <w:lang w:eastAsia="zh-CN"/>
        </w:rPr>
      </w:pPr>
    </w:p>
    <w:p>
      <w:pPr>
        <w:ind w:left="1953" w:leftChars="281" w:hanging="1335" w:hangingChars="500"/>
        <w:rPr>
          <w:rFonts w:ascii="楷体" w:hAnsi="楷体" w:eastAsia="楷体"/>
          <w:b/>
          <w:sz w:val="28"/>
          <w:szCs w:val="32"/>
          <w:u w:val="single"/>
          <w:lang w:eastAsia="zh-CN"/>
        </w:rPr>
      </w:pPr>
      <w:r>
        <w:rPr>
          <w:rFonts w:ascii="楷体" w:hAnsi="楷体" w:eastAsia="楷体"/>
          <w:b/>
          <w:w w:val="95"/>
          <w:sz w:val="28"/>
          <w:szCs w:val="32"/>
          <w:lang w:eastAsia="zh-CN"/>
        </w:rPr>
        <w:t>项目名称：</w:t>
      </w:r>
      <w:r>
        <w:rPr>
          <w:rFonts w:hint="eastAsia" w:ascii="楷体" w:hAnsi="楷体" w:eastAsia="楷体"/>
          <w:b/>
          <w:sz w:val="28"/>
          <w:szCs w:val="32"/>
          <w:u w:val="single"/>
          <w:lang w:eastAsia="zh-CN"/>
        </w:rPr>
        <w:t>深圳市深汕特别合作区水库、河道管养劳务外包</w:t>
      </w:r>
    </w:p>
    <w:p>
      <w:pPr>
        <w:ind w:left="2015" w:leftChars="916"/>
        <w:rPr>
          <w:rFonts w:ascii="楷体" w:hAnsi="楷体" w:eastAsia="楷体"/>
          <w:b/>
          <w:sz w:val="28"/>
          <w:szCs w:val="32"/>
          <w:u w:val="single"/>
          <w:lang w:eastAsia="zh-CN"/>
        </w:rPr>
      </w:pPr>
      <w:r>
        <w:rPr>
          <w:rFonts w:hint="eastAsia" w:ascii="楷体" w:hAnsi="楷体" w:eastAsia="楷体"/>
          <w:b/>
          <w:sz w:val="28"/>
          <w:szCs w:val="32"/>
          <w:u w:val="single"/>
          <w:lang w:eastAsia="zh-CN"/>
        </w:rPr>
        <w:t xml:space="preserve">项目（2022至2023年度）（五标段） </w:t>
      </w:r>
      <w:r>
        <w:rPr>
          <w:rFonts w:ascii="楷体" w:hAnsi="楷体" w:eastAsia="楷体"/>
          <w:b/>
          <w:sz w:val="28"/>
          <w:szCs w:val="32"/>
          <w:u w:val="single"/>
          <w:lang w:eastAsia="zh-CN"/>
        </w:rPr>
        <w:t xml:space="preserve">    </w:t>
      </w:r>
    </w:p>
    <w:p>
      <w:pPr>
        <w:tabs>
          <w:tab w:val="left" w:pos="6812"/>
        </w:tabs>
        <w:spacing w:before="62"/>
        <w:ind w:left="620"/>
        <w:rPr>
          <w:rFonts w:ascii="楷体" w:hAnsi="楷体" w:eastAsia="楷体"/>
          <w:b/>
          <w:sz w:val="28"/>
          <w:szCs w:val="32"/>
          <w:lang w:eastAsia="zh-CN"/>
        </w:rPr>
      </w:pPr>
      <w:r>
        <w:rPr>
          <w:rFonts w:ascii="楷体" w:hAnsi="楷体" w:eastAsia="楷体"/>
          <w:b/>
          <w:w w:val="95"/>
          <w:sz w:val="28"/>
          <w:szCs w:val="32"/>
          <w:lang w:eastAsia="zh-CN"/>
        </w:rPr>
        <w:t>项目地点：</w:t>
      </w:r>
      <w:r>
        <w:rPr>
          <w:rFonts w:ascii="楷体" w:hAnsi="楷体" w:eastAsia="楷体"/>
          <w:b/>
          <w:w w:val="95"/>
          <w:sz w:val="28"/>
          <w:szCs w:val="32"/>
          <w:u w:val="single"/>
          <w:lang w:eastAsia="zh-CN"/>
        </w:rPr>
        <w:t>深圳市深汕特别合作区</w:t>
      </w:r>
      <w:r>
        <w:rPr>
          <w:rFonts w:hint="eastAsia" w:ascii="楷体" w:hAnsi="楷体" w:eastAsia="楷体"/>
          <w:b/>
          <w:w w:val="95"/>
          <w:sz w:val="28"/>
          <w:szCs w:val="32"/>
          <w:u w:val="single"/>
          <w:lang w:eastAsia="zh-CN"/>
        </w:rPr>
        <w:t xml:space="preserve"> </w:t>
      </w:r>
      <w:r>
        <w:rPr>
          <w:rFonts w:ascii="楷体" w:hAnsi="楷体" w:eastAsia="楷体"/>
          <w:b/>
          <w:w w:val="95"/>
          <w:sz w:val="28"/>
          <w:szCs w:val="32"/>
          <w:u w:val="single"/>
          <w:lang w:eastAsia="zh-CN"/>
        </w:rPr>
        <w:t xml:space="preserve">                </w:t>
      </w:r>
    </w:p>
    <w:p>
      <w:pPr>
        <w:tabs>
          <w:tab w:val="left" w:pos="6806"/>
        </w:tabs>
        <w:spacing w:before="62"/>
        <w:ind w:left="620"/>
        <w:rPr>
          <w:rFonts w:ascii="楷体" w:hAnsi="楷体" w:eastAsia="楷体"/>
          <w:b/>
          <w:sz w:val="28"/>
          <w:szCs w:val="32"/>
          <w:lang w:eastAsia="zh-CN"/>
        </w:rPr>
      </w:pPr>
      <w:r>
        <w:rPr>
          <w:rFonts w:ascii="楷体" w:hAnsi="楷体" w:eastAsia="楷体"/>
          <w:b/>
          <w:sz w:val="28"/>
          <w:szCs w:val="32"/>
          <w:lang w:eastAsia="zh-CN"/>
        </w:rPr>
        <w:t>发包人</w:t>
      </w:r>
      <w:r>
        <w:rPr>
          <w:rFonts w:hint="eastAsia" w:ascii="楷体" w:hAnsi="楷体" w:eastAsia="楷体"/>
          <w:b/>
          <w:sz w:val="28"/>
          <w:szCs w:val="32"/>
          <w:lang w:eastAsia="zh-CN"/>
        </w:rPr>
        <w:t xml:space="preserve"> </w:t>
      </w:r>
      <w:r>
        <w:rPr>
          <w:rFonts w:ascii="楷体" w:hAnsi="楷体" w:eastAsia="楷体"/>
          <w:b/>
          <w:sz w:val="28"/>
          <w:szCs w:val="32"/>
          <w:lang w:eastAsia="zh-CN"/>
        </w:rPr>
        <w:t>：</w:t>
      </w:r>
      <w:r>
        <w:rPr>
          <w:rFonts w:hint="eastAsia" w:ascii="楷体" w:hAnsi="楷体" w:eastAsia="楷体"/>
          <w:b/>
          <w:sz w:val="28"/>
          <w:szCs w:val="32"/>
          <w:u w:val="single"/>
          <w:lang w:eastAsia="zh-CN"/>
        </w:rPr>
        <w:t>深圳市深汕特别合作区深水水务有限公司</w:t>
      </w:r>
    </w:p>
    <w:p>
      <w:pPr>
        <w:tabs>
          <w:tab w:val="left" w:pos="6945"/>
        </w:tabs>
        <w:spacing w:before="61"/>
        <w:ind w:left="620"/>
        <w:rPr>
          <w:rFonts w:ascii="楷体" w:hAnsi="楷体" w:eastAsia="楷体"/>
          <w:b/>
          <w:sz w:val="28"/>
          <w:szCs w:val="32"/>
          <w:lang w:eastAsia="zh-CN"/>
        </w:rPr>
      </w:pPr>
      <w:r>
        <w:rPr>
          <w:rFonts w:ascii="楷体" w:hAnsi="楷体" w:eastAsia="楷体"/>
          <w:b/>
          <w:sz w:val="28"/>
          <w:szCs w:val="32"/>
          <w:lang w:eastAsia="zh-CN"/>
        </w:rPr>
        <w:t>承包人</w:t>
      </w:r>
      <w:r>
        <w:rPr>
          <w:rFonts w:hint="eastAsia" w:ascii="楷体" w:hAnsi="楷体" w:eastAsia="楷体"/>
          <w:b/>
          <w:sz w:val="28"/>
          <w:szCs w:val="32"/>
          <w:lang w:eastAsia="zh-CN"/>
        </w:rPr>
        <w:t xml:space="preserve"> </w:t>
      </w:r>
      <w:r>
        <w:rPr>
          <w:rFonts w:ascii="楷体" w:hAnsi="楷体" w:eastAsia="楷体"/>
          <w:b/>
          <w:sz w:val="28"/>
          <w:szCs w:val="32"/>
          <w:lang w:eastAsia="zh-CN"/>
        </w:rPr>
        <w:t>：</w:t>
      </w:r>
      <w:r>
        <w:rPr>
          <w:rFonts w:hint="eastAsia" w:ascii="楷体" w:hAnsi="楷体" w:eastAsia="楷体"/>
          <w:b/>
          <w:sz w:val="28"/>
          <w:szCs w:val="32"/>
          <w:u w:val="single"/>
          <w:lang w:eastAsia="zh-CN"/>
        </w:rPr>
        <w:t xml:space="preserve">                                 </w:t>
      </w:r>
      <w:r>
        <w:rPr>
          <w:rFonts w:ascii="楷体" w:hAnsi="楷体" w:eastAsia="楷体"/>
          <w:b/>
          <w:sz w:val="28"/>
          <w:szCs w:val="32"/>
          <w:u w:val="single"/>
          <w:lang w:eastAsia="zh-CN"/>
        </w:rPr>
        <w:t xml:space="preserve">   </w:t>
      </w:r>
    </w:p>
    <w:p>
      <w:pPr>
        <w:tabs>
          <w:tab w:val="left" w:pos="3856"/>
          <w:tab w:val="left" w:pos="7213"/>
        </w:tabs>
        <w:spacing w:before="62"/>
        <w:ind w:left="620"/>
        <w:rPr>
          <w:rFonts w:ascii="楷体" w:hAnsi="楷体" w:eastAsia="楷体"/>
          <w:b/>
          <w:sz w:val="28"/>
          <w:szCs w:val="32"/>
          <w:u w:val="single"/>
          <w:lang w:eastAsia="zh-CN"/>
        </w:rPr>
      </w:pPr>
      <w:r>
        <w:rPr>
          <w:rFonts w:ascii="楷体" w:hAnsi="楷体" w:eastAsia="楷体"/>
          <w:b/>
          <w:w w:val="95"/>
          <w:sz w:val="28"/>
          <w:szCs w:val="32"/>
          <w:lang w:eastAsia="zh-CN"/>
        </w:rPr>
        <w:t>签订日期：</w:t>
      </w:r>
      <w:r>
        <w:rPr>
          <w:rFonts w:hint="eastAsia" w:ascii="楷体" w:hAnsi="楷体" w:eastAsia="楷体"/>
          <w:b/>
          <w:w w:val="95"/>
          <w:sz w:val="28"/>
          <w:szCs w:val="32"/>
          <w:u w:val="single"/>
          <w:lang w:eastAsia="zh-CN"/>
        </w:rPr>
        <w:t xml:space="preserve"> </w:t>
      </w:r>
      <w:r>
        <w:rPr>
          <w:rFonts w:ascii="楷体" w:hAnsi="楷体" w:eastAsia="楷体"/>
          <w:b/>
          <w:w w:val="95"/>
          <w:sz w:val="28"/>
          <w:szCs w:val="32"/>
          <w:u w:val="single"/>
          <w:lang w:eastAsia="zh-CN"/>
        </w:rPr>
        <w:t xml:space="preserve">      </w:t>
      </w:r>
      <w:r>
        <w:rPr>
          <w:rFonts w:ascii="楷体" w:hAnsi="楷体" w:eastAsia="楷体"/>
          <w:b/>
          <w:sz w:val="28"/>
          <w:szCs w:val="32"/>
          <w:u w:val="single"/>
          <w:lang w:eastAsia="zh-CN"/>
        </w:rPr>
        <w:t>年</w:t>
      </w:r>
      <w:r>
        <w:rPr>
          <w:rFonts w:hint="eastAsia" w:ascii="楷体" w:hAnsi="楷体" w:eastAsia="楷体"/>
          <w:b/>
          <w:sz w:val="28"/>
          <w:szCs w:val="32"/>
          <w:u w:val="single"/>
          <w:lang w:eastAsia="zh-CN"/>
        </w:rPr>
        <w:t xml:space="preserve"> </w:t>
      </w:r>
      <w:r>
        <w:rPr>
          <w:rFonts w:ascii="楷体" w:hAnsi="楷体" w:eastAsia="楷体"/>
          <w:b/>
          <w:sz w:val="28"/>
          <w:szCs w:val="32"/>
          <w:u w:val="single"/>
          <w:lang w:eastAsia="zh-CN"/>
        </w:rPr>
        <w:t xml:space="preserve">    月</w:t>
      </w:r>
      <w:r>
        <w:rPr>
          <w:rFonts w:hint="eastAsia" w:ascii="楷体" w:hAnsi="楷体" w:eastAsia="楷体"/>
          <w:b/>
          <w:sz w:val="28"/>
          <w:szCs w:val="32"/>
          <w:u w:val="single"/>
          <w:lang w:eastAsia="zh-CN"/>
        </w:rPr>
        <w:t xml:space="preserve"> </w:t>
      </w:r>
      <w:r>
        <w:rPr>
          <w:rFonts w:ascii="楷体" w:hAnsi="楷体" w:eastAsia="楷体"/>
          <w:b/>
          <w:sz w:val="28"/>
          <w:szCs w:val="32"/>
          <w:u w:val="single"/>
          <w:lang w:eastAsia="zh-CN"/>
        </w:rPr>
        <w:t xml:space="preserve">    日</w:t>
      </w:r>
      <w:r>
        <w:rPr>
          <w:rFonts w:hint="eastAsia" w:ascii="楷体" w:hAnsi="楷体" w:eastAsia="楷体"/>
          <w:b/>
          <w:sz w:val="28"/>
          <w:szCs w:val="32"/>
          <w:u w:val="single"/>
          <w:lang w:eastAsia="zh-CN"/>
        </w:rPr>
        <w:t xml:space="preserve"> </w:t>
      </w:r>
      <w:r>
        <w:rPr>
          <w:rFonts w:ascii="楷体" w:hAnsi="楷体" w:eastAsia="楷体"/>
          <w:b/>
          <w:sz w:val="28"/>
          <w:szCs w:val="32"/>
          <w:u w:val="single"/>
          <w:lang w:eastAsia="zh-CN"/>
        </w:rPr>
        <w:t xml:space="preserve">          </w:t>
      </w:r>
    </w:p>
    <w:p>
      <w:pPr>
        <w:tabs>
          <w:tab w:val="left" w:pos="3856"/>
          <w:tab w:val="left" w:pos="7213"/>
        </w:tabs>
        <w:spacing w:before="62"/>
        <w:rPr>
          <w:rFonts w:ascii="楷体" w:hAnsi="楷体" w:eastAsia="楷体"/>
          <w:b/>
          <w:sz w:val="28"/>
          <w:szCs w:val="32"/>
          <w:lang w:eastAsia="zh-CN"/>
        </w:rPr>
        <w:sectPr>
          <w:type w:val="continuous"/>
          <w:pgSz w:w="11910" w:h="16840"/>
          <w:pgMar w:top="1440" w:right="1800" w:bottom="1440" w:left="1800" w:header="720" w:footer="720" w:gutter="0"/>
          <w:cols w:space="720" w:num="1"/>
          <w:docGrid w:linePitch="299" w:charSpace="0"/>
        </w:sectPr>
      </w:pPr>
    </w:p>
    <w:p>
      <w:pPr>
        <w:tabs>
          <w:tab w:val="left" w:pos="3856"/>
          <w:tab w:val="left" w:pos="7213"/>
        </w:tabs>
        <w:spacing w:before="62"/>
        <w:rPr>
          <w:rFonts w:ascii="黑体" w:hAnsi="黑体" w:eastAsia="黑体"/>
          <w:b/>
          <w:sz w:val="28"/>
          <w:szCs w:val="30"/>
          <w:u w:val="single"/>
          <w:lang w:eastAsia="zh-CN"/>
        </w:rPr>
      </w:pPr>
      <w:r>
        <w:rPr>
          <w:rFonts w:ascii="黑体" w:hAnsi="黑体" w:eastAsia="黑体"/>
          <w:b/>
          <w:sz w:val="28"/>
          <w:szCs w:val="30"/>
          <w:u w:val="single"/>
          <w:lang w:eastAsia="zh-CN"/>
        </w:rPr>
        <w:t>发包人（甲方</w:t>
      </w:r>
      <w:r>
        <w:rPr>
          <w:rFonts w:hint="eastAsia" w:ascii="黑体" w:hAnsi="黑体" w:eastAsia="黑体"/>
          <w:b/>
          <w:sz w:val="28"/>
          <w:szCs w:val="30"/>
          <w:u w:val="single"/>
          <w:lang w:eastAsia="zh-CN"/>
        </w:rPr>
        <w:t>）</w:t>
      </w:r>
      <w:r>
        <w:rPr>
          <w:rFonts w:ascii="黑体" w:hAnsi="黑体" w:eastAsia="黑体"/>
          <w:b/>
          <w:sz w:val="28"/>
          <w:szCs w:val="30"/>
          <w:u w:val="single"/>
          <w:lang w:eastAsia="zh-CN"/>
        </w:rPr>
        <w:t>：</w:t>
      </w:r>
      <w:r>
        <w:rPr>
          <w:rFonts w:hint="eastAsia" w:ascii="黑体" w:hAnsi="黑体" w:eastAsia="黑体"/>
          <w:b/>
          <w:sz w:val="28"/>
          <w:szCs w:val="30"/>
          <w:u w:val="single"/>
          <w:lang w:eastAsia="zh-CN"/>
        </w:rPr>
        <w:t>深圳市深汕特别合作区深水水务有限公司</w:t>
      </w:r>
    </w:p>
    <w:p>
      <w:pPr>
        <w:tabs>
          <w:tab w:val="left" w:pos="1990"/>
          <w:tab w:val="left" w:pos="2411"/>
          <w:tab w:val="left" w:pos="5399"/>
        </w:tabs>
        <w:spacing w:after="0" w:line="360" w:lineRule="auto"/>
        <w:rPr>
          <w:rFonts w:ascii="黑体" w:hAnsi="黑体" w:eastAsia="黑体"/>
          <w:b/>
          <w:sz w:val="28"/>
          <w:szCs w:val="30"/>
          <w:u w:val="single"/>
          <w:lang w:eastAsia="zh-CN"/>
        </w:rPr>
      </w:pPr>
      <w:r>
        <w:rPr>
          <w:rFonts w:ascii="黑体" w:hAnsi="黑体" w:eastAsia="黑体"/>
          <w:b/>
          <w:w w:val="95"/>
          <w:sz w:val="28"/>
          <w:szCs w:val="30"/>
          <w:u w:val="single"/>
          <w:lang w:eastAsia="zh-CN"/>
        </w:rPr>
        <w:t>承包人（乙方）：</w:t>
      </w:r>
      <w:r>
        <w:rPr>
          <w:rFonts w:hint="eastAsia" w:ascii="黑体" w:hAnsi="黑体" w:eastAsia="黑体"/>
          <w:b/>
          <w:sz w:val="28"/>
          <w:szCs w:val="30"/>
          <w:u w:val="single"/>
          <w:lang w:eastAsia="zh-CN"/>
        </w:rPr>
        <w:t xml:space="preserve">                                     </w:t>
      </w:r>
    </w:p>
    <w:p>
      <w:pPr>
        <w:tabs>
          <w:tab w:val="left" w:pos="1990"/>
          <w:tab w:val="left" w:pos="2411"/>
          <w:tab w:val="left" w:pos="5399"/>
        </w:tabs>
        <w:spacing w:after="0" w:line="360" w:lineRule="auto"/>
        <w:rPr>
          <w:rFonts w:ascii="黑体" w:hAnsi="黑体" w:eastAsia="黑体"/>
          <w:b/>
          <w:sz w:val="28"/>
          <w:szCs w:val="30"/>
          <w:u w:val="single"/>
          <w:lang w:eastAsia="zh-CN"/>
        </w:rPr>
      </w:pPr>
    </w:p>
    <w:p>
      <w:pPr>
        <w:tabs>
          <w:tab w:val="left" w:pos="1990"/>
          <w:tab w:val="left" w:pos="2411"/>
          <w:tab w:val="left" w:pos="5399"/>
        </w:tabs>
        <w:spacing w:after="0" w:line="360" w:lineRule="auto"/>
        <w:ind w:firstLine="480" w:firstLineChars="200"/>
        <w:jc w:val="both"/>
        <w:rPr>
          <w:rFonts w:ascii="仿宋" w:hAnsi="仿宋" w:eastAsia="仿宋"/>
          <w:sz w:val="24"/>
          <w:szCs w:val="28"/>
          <w:lang w:eastAsia="zh-CN"/>
        </w:rPr>
      </w:pPr>
      <w:r>
        <w:rPr>
          <w:rFonts w:ascii="仿宋" w:hAnsi="仿宋" w:eastAsia="仿宋"/>
          <w:sz w:val="24"/>
          <w:szCs w:val="28"/>
          <w:lang w:eastAsia="zh-CN"/>
        </w:rPr>
        <w:t>按</w:t>
      </w:r>
      <w:r>
        <w:rPr>
          <w:rFonts w:ascii="仿宋" w:hAnsi="仿宋" w:eastAsia="仿宋"/>
          <w:spacing w:val="-20"/>
          <w:sz w:val="24"/>
          <w:szCs w:val="28"/>
          <w:lang w:eastAsia="zh-CN"/>
        </w:rPr>
        <w:t>照</w:t>
      </w:r>
      <w:r>
        <w:rPr>
          <w:rFonts w:ascii="仿宋" w:hAnsi="仿宋" w:eastAsia="仿宋"/>
          <w:sz w:val="24"/>
          <w:szCs w:val="28"/>
          <w:lang w:eastAsia="zh-CN"/>
        </w:rPr>
        <w:t>《中华人民共和国</w:t>
      </w:r>
      <w:r>
        <w:rPr>
          <w:rFonts w:hint="eastAsia" w:ascii="仿宋" w:hAnsi="仿宋" w:eastAsia="仿宋"/>
          <w:sz w:val="24"/>
          <w:szCs w:val="28"/>
          <w:lang w:eastAsia="zh-CN"/>
        </w:rPr>
        <w:t>民法典</w:t>
      </w:r>
      <w:r>
        <w:rPr>
          <w:rFonts w:ascii="仿宋" w:hAnsi="仿宋" w:eastAsia="仿宋"/>
          <w:sz w:val="24"/>
          <w:szCs w:val="28"/>
          <w:lang w:eastAsia="zh-CN"/>
        </w:rPr>
        <w:t>》</w:t>
      </w:r>
      <w:r>
        <w:rPr>
          <w:rFonts w:hint="eastAsia" w:ascii="仿宋" w:hAnsi="仿宋" w:eastAsia="仿宋"/>
          <w:sz w:val="24"/>
          <w:szCs w:val="28"/>
          <w:lang w:eastAsia="zh-CN"/>
        </w:rPr>
        <w:t>及</w:t>
      </w:r>
      <w:r>
        <w:rPr>
          <w:rFonts w:ascii="仿宋" w:hAnsi="仿宋" w:eastAsia="仿宋"/>
          <w:sz w:val="24"/>
          <w:szCs w:val="28"/>
          <w:lang w:eastAsia="zh-CN"/>
        </w:rPr>
        <w:t>其他有关法律法规，遵循平等</w:t>
      </w:r>
      <w:r>
        <w:rPr>
          <w:rFonts w:hint="eastAsia" w:ascii="仿宋" w:hAnsi="仿宋" w:eastAsia="仿宋"/>
          <w:sz w:val="24"/>
          <w:szCs w:val="28"/>
          <w:lang w:eastAsia="zh-CN"/>
        </w:rPr>
        <w:t>、</w:t>
      </w:r>
      <w:r>
        <w:rPr>
          <w:rFonts w:ascii="仿宋" w:hAnsi="仿宋" w:eastAsia="仿宋"/>
          <w:sz w:val="24"/>
          <w:szCs w:val="28"/>
          <w:lang w:eastAsia="zh-CN"/>
        </w:rPr>
        <w:t>自愿</w:t>
      </w:r>
      <w:r>
        <w:rPr>
          <w:rFonts w:hint="eastAsia" w:ascii="仿宋" w:hAnsi="仿宋" w:eastAsia="仿宋"/>
          <w:sz w:val="24"/>
          <w:szCs w:val="28"/>
          <w:lang w:eastAsia="zh-CN"/>
        </w:rPr>
        <w:t>、</w:t>
      </w:r>
      <w:r>
        <w:rPr>
          <w:rFonts w:ascii="仿宋" w:hAnsi="仿宋" w:eastAsia="仿宋"/>
          <w:sz w:val="24"/>
          <w:szCs w:val="28"/>
          <w:lang w:eastAsia="zh-CN"/>
        </w:rPr>
        <w:t>公平和诚实信用的原则，为保证</w:t>
      </w:r>
      <w:r>
        <w:rPr>
          <w:rFonts w:hint="eastAsia" w:ascii="仿宋" w:hAnsi="仿宋" w:eastAsia="仿宋"/>
          <w:sz w:val="24"/>
          <w:szCs w:val="28"/>
          <w:lang w:eastAsia="zh-CN"/>
        </w:rPr>
        <w:t>深圳市深汕特别合作区（以下简称合作区）赤石片区4座小型水库和8条主要河流有序运营维护，</w:t>
      </w:r>
      <w:r>
        <w:rPr>
          <w:rFonts w:ascii="仿宋" w:hAnsi="仿宋" w:eastAsia="仿宋"/>
          <w:sz w:val="24"/>
          <w:szCs w:val="28"/>
          <w:lang w:eastAsia="zh-CN"/>
        </w:rPr>
        <w:t>经</w:t>
      </w:r>
      <w:r>
        <w:rPr>
          <w:rFonts w:hint="eastAsia" w:ascii="仿宋" w:hAnsi="仿宋" w:eastAsia="仿宋"/>
          <w:b/>
          <w:sz w:val="24"/>
          <w:szCs w:val="28"/>
          <w:u w:val="single"/>
          <w:lang w:eastAsia="zh-CN"/>
        </w:rPr>
        <w:t>深圳市深汕特别合作区深水水务有限公司</w:t>
      </w:r>
      <w:r>
        <w:rPr>
          <w:rFonts w:ascii="仿宋" w:hAnsi="仿宋" w:eastAsia="仿宋"/>
          <w:b/>
          <w:sz w:val="24"/>
          <w:szCs w:val="28"/>
          <w:u w:val="single"/>
          <w:lang w:eastAsia="zh-CN"/>
        </w:rPr>
        <w:t>（以下简称甲方</w:t>
      </w:r>
      <w:r>
        <w:rPr>
          <w:rFonts w:ascii="仿宋" w:hAnsi="仿宋" w:eastAsia="仿宋"/>
          <w:b/>
          <w:spacing w:val="3"/>
          <w:sz w:val="24"/>
          <w:szCs w:val="28"/>
          <w:u w:val="single"/>
          <w:lang w:eastAsia="zh-CN"/>
        </w:rPr>
        <w:t>）</w:t>
      </w:r>
      <w:r>
        <w:rPr>
          <w:rFonts w:ascii="仿宋" w:hAnsi="仿宋" w:eastAsia="仿宋"/>
          <w:sz w:val="24"/>
          <w:szCs w:val="28"/>
          <w:lang w:eastAsia="zh-CN"/>
        </w:rPr>
        <w:t>公开招标</w:t>
      </w:r>
      <w:r>
        <w:rPr>
          <w:rFonts w:hint="eastAsia" w:ascii="仿宋" w:hAnsi="仿宋" w:eastAsia="仿宋"/>
          <w:sz w:val="24"/>
          <w:szCs w:val="28"/>
          <w:lang w:eastAsia="zh-CN"/>
        </w:rPr>
        <w:t>，</w:t>
      </w:r>
      <w:r>
        <w:rPr>
          <w:rFonts w:ascii="仿宋" w:hAnsi="仿宋" w:eastAsia="仿宋"/>
          <w:sz w:val="24"/>
          <w:szCs w:val="28"/>
          <w:lang w:eastAsia="zh-CN"/>
        </w:rPr>
        <w:t>现与中标单位</w:t>
      </w:r>
      <w:r>
        <w:rPr>
          <w:rFonts w:hint="eastAsia" w:ascii="仿宋" w:hAnsi="仿宋" w:eastAsia="仿宋"/>
          <w:sz w:val="24"/>
          <w:szCs w:val="28"/>
          <w:lang w:eastAsia="zh-CN"/>
        </w:rPr>
        <w:t>XX公司</w:t>
      </w:r>
      <w:r>
        <w:rPr>
          <w:rFonts w:ascii="仿宋" w:hAnsi="仿宋" w:eastAsia="仿宋"/>
          <w:b/>
          <w:sz w:val="24"/>
          <w:szCs w:val="28"/>
          <w:u w:val="single"/>
          <w:lang w:eastAsia="zh-CN"/>
        </w:rPr>
        <w:t>（以下简称乙方</w:t>
      </w:r>
      <w:r>
        <w:rPr>
          <w:rFonts w:ascii="仿宋" w:hAnsi="仿宋" w:eastAsia="仿宋"/>
          <w:b/>
          <w:spacing w:val="3"/>
          <w:sz w:val="24"/>
          <w:szCs w:val="28"/>
          <w:u w:val="single"/>
          <w:lang w:eastAsia="zh-CN"/>
        </w:rPr>
        <w:t>）</w:t>
      </w:r>
      <w:r>
        <w:rPr>
          <w:rFonts w:ascii="仿宋" w:hAnsi="仿宋" w:eastAsia="仿宋"/>
          <w:sz w:val="24"/>
          <w:szCs w:val="28"/>
          <w:lang w:eastAsia="zh-CN"/>
        </w:rPr>
        <w:t>就</w:t>
      </w:r>
      <w:r>
        <w:rPr>
          <w:rFonts w:hint="eastAsia" w:ascii="仿宋" w:hAnsi="仿宋" w:eastAsia="仿宋"/>
          <w:b/>
          <w:sz w:val="24"/>
          <w:szCs w:val="28"/>
          <w:u w:val="single"/>
          <w:lang w:eastAsia="zh-CN"/>
        </w:rPr>
        <w:t>深圳市深汕特别合作区水库、河道管养劳务外包</w:t>
      </w:r>
      <w:r>
        <w:rPr>
          <w:rFonts w:ascii="仿宋" w:hAnsi="仿宋" w:eastAsia="仿宋"/>
          <w:b/>
          <w:sz w:val="24"/>
          <w:szCs w:val="28"/>
          <w:u w:val="single"/>
          <w:lang w:eastAsia="zh-CN"/>
        </w:rPr>
        <w:t>项目</w:t>
      </w:r>
      <w:r>
        <w:rPr>
          <w:rFonts w:hint="eastAsia" w:ascii="仿宋" w:hAnsi="仿宋" w:eastAsia="仿宋"/>
          <w:b/>
          <w:sz w:val="24"/>
          <w:szCs w:val="28"/>
          <w:u w:val="single"/>
          <w:lang w:eastAsia="zh-CN"/>
        </w:rPr>
        <w:t>（2022至2023年度）（五标段）</w:t>
      </w:r>
      <w:r>
        <w:rPr>
          <w:rFonts w:hint="eastAsia" w:ascii="仿宋" w:hAnsi="仿宋" w:eastAsia="仿宋"/>
          <w:sz w:val="24"/>
          <w:szCs w:val="28"/>
          <w:lang w:eastAsia="zh-CN"/>
        </w:rPr>
        <w:t>，</w:t>
      </w:r>
      <w:r>
        <w:rPr>
          <w:rFonts w:ascii="仿宋" w:hAnsi="仿宋" w:eastAsia="仿宋"/>
          <w:sz w:val="24"/>
          <w:szCs w:val="28"/>
          <w:lang w:eastAsia="zh-CN"/>
        </w:rPr>
        <w:t>按深圳市相关规定签订本合同</w:t>
      </w:r>
      <w:r>
        <w:rPr>
          <w:rFonts w:hint="eastAsia" w:ascii="仿宋" w:hAnsi="仿宋" w:eastAsia="仿宋"/>
          <w:sz w:val="24"/>
          <w:szCs w:val="28"/>
          <w:lang w:eastAsia="zh-CN"/>
        </w:rPr>
        <w:t>，</w:t>
      </w:r>
      <w:r>
        <w:rPr>
          <w:rFonts w:ascii="仿宋" w:hAnsi="仿宋" w:eastAsia="仿宋"/>
          <w:sz w:val="24"/>
          <w:szCs w:val="28"/>
          <w:lang w:eastAsia="zh-CN"/>
        </w:rPr>
        <w:t>合同条款</w:t>
      </w:r>
      <w:r>
        <w:rPr>
          <w:rFonts w:hint="eastAsia" w:ascii="仿宋" w:hAnsi="仿宋" w:eastAsia="仿宋"/>
          <w:sz w:val="24"/>
          <w:szCs w:val="28"/>
          <w:lang w:eastAsia="zh-CN"/>
        </w:rPr>
        <w:t>如下</w:t>
      </w:r>
      <w:r>
        <w:rPr>
          <w:rFonts w:ascii="仿宋" w:hAnsi="仿宋" w:eastAsia="仿宋"/>
          <w:sz w:val="24"/>
          <w:szCs w:val="28"/>
          <w:lang w:eastAsia="zh-CN"/>
        </w:rPr>
        <w:t>：</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第一条</w:t>
      </w:r>
      <w:r>
        <w:rPr>
          <w:rFonts w:hint="eastAsia" w:ascii="黑体" w:hAnsi="黑体" w:eastAsia="黑体"/>
          <w:b/>
          <w:sz w:val="28"/>
          <w:lang w:eastAsia="zh-CN"/>
        </w:rPr>
        <w:t xml:space="preserve"> </w:t>
      </w:r>
      <w:r>
        <w:rPr>
          <w:rFonts w:ascii="黑体" w:hAnsi="黑体" w:eastAsia="黑体"/>
          <w:b/>
          <w:sz w:val="28"/>
          <w:lang w:eastAsia="zh-CN"/>
        </w:rPr>
        <w:t>项目概况</w:t>
      </w:r>
    </w:p>
    <w:p>
      <w:pPr>
        <w:jc w:val="both"/>
        <w:outlineLvl w:val="1"/>
        <w:rPr>
          <w:rFonts w:ascii="宋体" w:hAnsi="宋体"/>
          <w:b/>
          <w:sz w:val="24"/>
          <w:szCs w:val="24"/>
          <w:lang w:eastAsia="zh-CN"/>
        </w:rPr>
      </w:pPr>
      <w:r>
        <w:rPr>
          <w:rFonts w:ascii="宋体" w:hAnsi="宋体"/>
          <w:b/>
          <w:sz w:val="24"/>
          <w:szCs w:val="24"/>
          <w:lang w:eastAsia="zh-CN"/>
        </w:rPr>
        <w:t>1、服务概况</w:t>
      </w:r>
    </w:p>
    <w:p>
      <w:pPr>
        <w:pStyle w:val="2"/>
        <w:spacing w:after="0" w:line="360" w:lineRule="auto"/>
        <w:ind w:left="0" w:firstLine="480" w:firstLineChars="200"/>
        <w:jc w:val="both"/>
      </w:pPr>
      <w:r>
        <w:rPr>
          <w:rFonts w:hint="eastAsia"/>
        </w:rPr>
        <w:t>项目运营维护范围包括深圳市深汕特别合作区</w:t>
      </w:r>
      <w:r>
        <w:rPr>
          <w:rFonts w:hint="eastAsia"/>
          <w:lang w:val="en-US"/>
        </w:rPr>
        <w:t>赤石镇</w:t>
      </w:r>
      <w:r>
        <w:rPr>
          <w:rFonts w:hint="eastAsia"/>
        </w:rPr>
        <w:t>内</w:t>
      </w:r>
      <w:r>
        <w:rPr>
          <w:rFonts w:hint="eastAsia"/>
          <w:lang w:val="en-US"/>
        </w:rPr>
        <w:t>4</w:t>
      </w:r>
      <w:r>
        <w:rPr>
          <w:rFonts w:hint="eastAsia"/>
        </w:rPr>
        <w:t>座水库及</w:t>
      </w:r>
      <w:r>
        <w:rPr>
          <w:rFonts w:hint="eastAsia"/>
          <w:lang w:val="en-US"/>
        </w:rPr>
        <w:t>8</w:t>
      </w:r>
      <w:r>
        <w:rPr>
          <w:rFonts w:hint="eastAsia"/>
        </w:rPr>
        <w:t>条主要河道，具体服务包括：</w:t>
      </w:r>
    </w:p>
    <w:p>
      <w:pPr>
        <w:pStyle w:val="2"/>
        <w:spacing w:after="0" w:line="360" w:lineRule="auto"/>
        <w:ind w:left="0" w:firstLine="480" w:firstLineChars="200"/>
        <w:jc w:val="both"/>
      </w:pPr>
      <w:r>
        <w:rPr>
          <w:rFonts w:hint="eastAsia"/>
        </w:rPr>
        <w:t>通过“水务大管家”模式，配合甲方进行管理养护，加强小型水库及河道管理，保障小型水库及河道工程安全运行，发挥小型水库及河道效益，适应小型水库及河道管理的新要求。结合合作区小型水库及河道现状，配合甲方全面梳理水库、河道现状，切实排查水库、河道隐患，勘察水库、河道水文地质条件，从而规范水库、河道运行维护，增强管理力量，建立巡视检查、防汛抢险、调度运用、岗位职责、技术档案等标准化制度。</w:t>
      </w:r>
    </w:p>
    <w:p>
      <w:pPr>
        <w:pStyle w:val="2"/>
        <w:spacing w:after="0" w:line="360" w:lineRule="auto"/>
        <w:ind w:left="0" w:firstLine="480" w:firstLineChars="200"/>
        <w:jc w:val="both"/>
      </w:pPr>
      <w:r>
        <w:rPr>
          <w:rFonts w:hint="eastAsia"/>
        </w:rPr>
        <w:t>管养内容主要包括水库和河道的巡查、保洁（含水域、陆域）、绿化保养、附属设施基础保养、</w:t>
      </w:r>
      <w:r>
        <w:rPr>
          <w:rFonts w:hint="eastAsia"/>
          <w:lang w:val="en-US"/>
        </w:rPr>
        <w:t>损毁修复</w:t>
      </w:r>
      <w:r>
        <w:rPr>
          <w:rFonts w:hint="eastAsia"/>
        </w:rPr>
        <w:t>等。</w:t>
      </w:r>
    </w:p>
    <w:p>
      <w:pPr>
        <w:pStyle w:val="2"/>
        <w:spacing w:after="0" w:line="360" w:lineRule="auto"/>
        <w:ind w:left="0" w:firstLine="480" w:firstLineChars="200"/>
        <w:jc w:val="both"/>
      </w:pPr>
    </w:p>
    <w:p>
      <w:pPr>
        <w:jc w:val="both"/>
        <w:outlineLvl w:val="1"/>
        <w:rPr>
          <w:rFonts w:ascii="宋体" w:hAnsi="宋体"/>
          <w:b/>
          <w:sz w:val="24"/>
          <w:lang w:eastAsia="zh-CN"/>
        </w:rPr>
      </w:pPr>
      <w:r>
        <w:rPr>
          <w:rFonts w:ascii="宋体" w:hAnsi="宋体"/>
          <w:b/>
          <w:sz w:val="24"/>
          <w:lang w:eastAsia="zh-CN"/>
        </w:rPr>
        <w:t>2、项目目的及</w:t>
      </w:r>
      <w:r>
        <w:rPr>
          <w:rFonts w:hint="eastAsia" w:ascii="宋体" w:hAnsi="宋体"/>
          <w:b/>
          <w:sz w:val="24"/>
          <w:lang w:eastAsia="zh-CN"/>
        </w:rPr>
        <w:t>管理</w:t>
      </w:r>
      <w:r>
        <w:rPr>
          <w:rFonts w:ascii="宋体" w:hAnsi="宋体"/>
          <w:b/>
          <w:sz w:val="24"/>
          <w:lang w:eastAsia="zh-CN"/>
        </w:rPr>
        <w:t>目标</w:t>
      </w:r>
    </w:p>
    <w:p>
      <w:pPr>
        <w:tabs>
          <w:tab w:val="left" w:pos="1320"/>
        </w:tabs>
        <w:spacing w:after="0" w:line="360" w:lineRule="auto"/>
        <w:ind w:firstLine="456" w:firstLineChars="200"/>
        <w:jc w:val="both"/>
        <w:rPr>
          <w:rFonts w:ascii="宋体" w:hAnsi="宋体" w:cs="宋体"/>
          <w:spacing w:val="-6"/>
          <w:sz w:val="24"/>
          <w:szCs w:val="24"/>
          <w:lang w:eastAsia="zh-CN" w:bidi="zh-CN"/>
        </w:rPr>
      </w:pPr>
      <w:r>
        <w:rPr>
          <w:rFonts w:hint="eastAsia" w:ascii="宋体" w:hAnsi="宋体" w:cs="宋体"/>
          <w:spacing w:val="-6"/>
          <w:sz w:val="24"/>
          <w:szCs w:val="24"/>
          <w:lang w:val="zh-CN" w:eastAsia="zh-CN" w:bidi="zh-CN"/>
        </w:rPr>
        <w:t>（1）</w:t>
      </w:r>
      <w:r>
        <w:rPr>
          <w:rFonts w:hint="eastAsia" w:ascii="宋体" w:hAnsi="宋体" w:cs="宋体"/>
          <w:spacing w:val="-6"/>
          <w:sz w:val="24"/>
          <w:szCs w:val="24"/>
          <w:lang w:eastAsia="zh-CN" w:bidi="zh-CN"/>
        </w:rPr>
        <w:t>通过对水库、河道等项目的管养，结合合作区给排水实际运营状况，打造深圳市范围内首家“水务大管家”先行示范样板，为深圳市乃至全国治水提质积累经验；</w:t>
      </w:r>
    </w:p>
    <w:p>
      <w:pPr>
        <w:tabs>
          <w:tab w:val="left" w:pos="1320"/>
        </w:tabs>
        <w:spacing w:after="0" w:line="360" w:lineRule="auto"/>
        <w:ind w:firstLine="456" w:firstLineChars="200"/>
        <w:jc w:val="both"/>
        <w:rPr>
          <w:rFonts w:ascii="宋体" w:hAnsi="宋体" w:cs="宋体"/>
          <w:spacing w:val="-6"/>
          <w:sz w:val="24"/>
          <w:szCs w:val="24"/>
          <w:lang w:val="zh-CN" w:eastAsia="zh-CN" w:bidi="zh-CN"/>
        </w:rPr>
      </w:pPr>
      <w:r>
        <w:rPr>
          <w:rFonts w:hint="eastAsia" w:ascii="宋体" w:hAnsi="宋体" w:cs="宋体"/>
          <w:spacing w:val="-6"/>
          <w:sz w:val="24"/>
          <w:szCs w:val="24"/>
          <w:lang w:val="zh-CN" w:eastAsia="zh-CN" w:bidi="zh-CN"/>
        </w:rPr>
        <w:t>（</w:t>
      </w:r>
      <w:r>
        <w:rPr>
          <w:rFonts w:hint="eastAsia" w:ascii="宋体" w:hAnsi="宋体" w:cs="宋体"/>
          <w:spacing w:val="-6"/>
          <w:sz w:val="24"/>
          <w:szCs w:val="24"/>
          <w:lang w:eastAsia="zh-CN" w:bidi="zh-CN"/>
        </w:rPr>
        <w:t>2</w:t>
      </w:r>
      <w:r>
        <w:rPr>
          <w:rFonts w:hint="eastAsia" w:ascii="宋体" w:hAnsi="宋体" w:cs="宋体"/>
          <w:spacing w:val="-6"/>
          <w:sz w:val="24"/>
          <w:szCs w:val="24"/>
          <w:lang w:val="zh-CN" w:eastAsia="zh-CN" w:bidi="zh-CN"/>
        </w:rPr>
        <w:t>）通过</w:t>
      </w:r>
      <w:r>
        <w:rPr>
          <w:rFonts w:hint="eastAsia" w:ascii="宋体" w:hAnsi="宋体" w:cs="宋体"/>
          <w:spacing w:val="-6"/>
          <w:sz w:val="24"/>
          <w:szCs w:val="24"/>
          <w:lang w:eastAsia="zh-CN" w:bidi="zh-CN"/>
        </w:rPr>
        <w:t>水库、河道</w:t>
      </w:r>
      <w:r>
        <w:rPr>
          <w:rFonts w:hint="eastAsia" w:ascii="宋体" w:hAnsi="宋体" w:cs="宋体"/>
          <w:spacing w:val="-6"/>
          <w:sz w:val="24"/>
          <w:szCs w:val="24"/>
          <w:lang w:val="zh-CN" w:eastAsia="zh-CN" w:bidi="zh-CN"/>
        </w:rPr>
        <w:t>项目管养，对相关设施进行及时的管养维护，保障堤防、防洪及水环境设施的安全健康运行，保障河道行洪通畅及防汛安全，有效维持水面、河岸清洁，保证河道水清岸绿景美。</w:t>
      </w:r>
    </w:p>
    <w:p>
      <w:pPr>
        <w:tabs>
          <w:tab w:val="left" w:pos="1320"/>
        </w:tabs>
        <w:spacing w:after="0" w:line="360" w:lineRule="auto"/>
        <w:ind w:firstLine="456" w:firstLineChars="200"/>
        <w:jc w:val="both"/>
        <w:rPr>
          <w:rFonts w:ascii="宋体" w:hAnsi="宋体" w:cs="宋体"/>
          <w:spacing w:val="-6"/>
          <w:sz w:val="24"/>
          <w:szCs w:val="24"/>
          <w:lang w:eastAsia="zh-CN" w:bidi="zh-CN"/>
        </w:rPr>
      </w:pPr>
      <w:r>
        <w:rPr>
          <w:rFonts w:hint="eastAsia" w:ascii="宋体" w:hAnsi="宋体" w:cs="宋体"/>
          <w:spacing w:val="-6"/>
          <w:sz w:val="24"/>
          <w:szCs w:val="24"/>
          <w:lang w:val="zh-CN" w:eastAsia="zh-CN" w:bidi="zh-CN"/>
        </w:rPr>
        <w:t>（</w:t>
      </w:r>
      <w:r>
        <w:rPr>
          <w:rFonts w:hint="eastAsia" w:ascii="宋体" w:hAnsi="宋体" w:cs="宋体"/>
          <w:spacing w:val="-6"/>
          <w:sz w:val="24"/>
          <w:szCs w:val="24"/>
          <w:lang w:eastAsia="zh-CN" w:bidi="zh-CN"/>
        </w:rPr>
        <w:t>3</w:t>
      </w:r>
      <w:r>
        <w:rPr>
          <w:rFonts w:hint="eastAsia" w:ascii="宋体" w:hAnsi="宋体" w:cs="宋体"/>
          <w:spacing w:val="-6"/>
          <w:sz w:val="24"/>
          <w:szCs w:val="24"/>
          <w:lang w:val="zh-CN" w:eastAsia="zh-CN" w:bidi="zh-CN"/>
        </w:rPr>
        <w:t>）</w:t>
      </w:r>
      <w:r>
        <w:rPr>
          <w:rFonts w:hint="eastAsia" w:ascii="宋体" w:hAnsi="宋体" w:cs="宋体"/>
          <w:spacing w:val="-6"/>
          <w:sz w:val="24"/>
          <w:szCs w:val="24"/>
          <w:lang w:eastAsia="zh-CN" w:bidi="zh-CN"/>
        </w:rPr>
        <w:t>提高合作区水务系统统筹协调能力，实现全流程、全要素、统一指挥、统一管理，构建“水务大管家”管理体系；</w:t>
      </w:r>
    </w:p>
    <w:p>
      <w:pPr>
        <w:tabs>
          <w:tab w:val="left" w:pos="1320"/>
        </w:tabs>
        <w:spacing w:after="0" w:line="360" w:lineRule="auto"/>
        <w:ind w:firstLine="456" w:firstLineChars="200"/>
        <w:jc w:val="both"/>
        <w:rPr>
          <w:rFonts w:ascii="宋体" w:hAnsi="宋体" w:cs="宋体"/>
          <w:spacing w:val="-6"/>
          <w:sz w:val="24"/>
          <w:szCs w:val="24"/>
          <w:lang w:eastAsia="zh-CN" w:bidi="zh-CN"/>
        </w:rPr>
      </w:pPr>
      <w:r>
        <w:rPr>
          <w:rFonts w:hint="eastAsia" w:ascii="宋体" w:hAnsi="宋体" w:cs="宋体"/>
          <w:spacing w:val="-6"/>
          <w:sz w:val="24"/>
          <w:szCs w:val="24"/>
          <w:lang w:eastAsia="zh-CN" w:bidi="zh-CN"/>
        </w:rPr>
        <w:t>（4）通过打造“水务大管家”管理队伍，提高合作区水务系统应对突发事件、应急事务的处理能力。</w:t>
      </w:r>
    </w:p>
    <w:p>
      <w:pPr>
        <w:pStyle w:val="2"/>
      </w:pPr>
    </w:p>
    <w:p>
      <w:pPr>
        <w:jc w:val="both"/>
        <w:outlineLvl w:val="1"/>
        <w:rPr>
          <w:rFonts w:ascii="宋体" w:hAnsi="宋体"/>
          <w:b/>
          <w:sz w:val="24"/>
          <w:lang w:eastAsia="zh-CN"/>
        </w:rPr>
      </w:pPr>
      <w:r>
        <w:rPr>
          <w:rFonts w:ascii="宋体" w:hAnsi="宋体"/>
          <w:b/>
          <w:sz w:val="24"/>
          <w:lang w:eastAsia="zh-CN"/>
        </w:rPr>
        <w:t>3、项目所依据及参考标准</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《中华人民共和国水法》</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《中华人民共和国防洪法》</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《中华人民共和国水污染防治法》</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《中华人民共和国水污染防治法实施细则》</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《中华人民共和国河道管理条例》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《饮用水水源保护区污染防治管理规定》</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《水库大坝安全管理条例》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《小型水库安全管理办法》</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《水利工程维修养护定额标准》</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《广东省水利工程管理条例》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《广东省水利工程白蚁防治办法》</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《广东省河道堤防管理条例》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《深圳经济特区水资源管理条例》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《深圳经济特区饮用水源保护条例》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《深圳市饮用水源保护区管理条例》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《深圳经济特区河道管理条例》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《深圳市标准化指导性技术文件河道管养技术标准》</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《深圳市水务局关于加大对区街水利设施管养投入力度的通知》（深水函﹝2016﹞2034 号）</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《深圳市小型水库管理暂行办法》（深府办[2008]19号）</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《建设项目前期工作咨询收费暂行规定》（计价格[1999]1283号）</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《建设项目前期工作咨询收费暂行规定》的通知（深价[2001]13号）</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《水利工程管理单位定岗标准（试点）》（水办[2004]307号）</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《水利工程维修养护定额标准（试点）》（水办[2004]307号）</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《广州市水利工程维修养护定额（试行）》（2007年12月）</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《深圳市标准化指导性技术文件河道管养技术标准》（SZDBZ 155-2015）</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《水闸技术管理规程》（SL 75-2014）</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《深圳市水闸安全管理考核暂行办法》（2</w:t>
      </w:r>
      <w:r>
        <w:rPr>
          <w:rFonts w:ascii="宋体" w:hAnsi="宋体"/>
          <w:spacing w:val="-10"/>
          <w:sz w:val="24"/>
          <w:szCs w:val="24"/>
          <w:lang w:eastAsia="zh-CN"/>
        </w:rPr>
        <w:t>013</w:t>
      </w:r>
      <w:r>
        <w:rPr>
          <w:rFonts w:hint="eastAsia" w:ascii="宋体" w:hAnsi="宋体"/>
          <w:spacing w:val="-10"/>
          <w:sz w:val="24"/>
          <w:szCs w:val="24"/>
          <w:lang w:eastAsia="zh-CN"/>
        </w:rPr>
        <w:t>）</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《配电自动化系统运行维护管理规范》（Q/GDW 626-2011）</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《建设工程质量管理条例》（国务院令第279号）</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《广东省保安服务管理条例》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《深圳市市政工程消耗量定额》（2017）</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《深圳市市政维修工程消耗量标准》（2020）</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《深圳市环卫工程消耗量标准》（2019）</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《深圳市河道管养消耗量标准》（2014）</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《深圳市园林建筑绿化工程消耗量定额》（2017）</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《深圳市建设工程价格信息》2022 年 1期</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《2020年深圳市人力资源市场工资指导价位》</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《水库工程管理设计规范》（SL106-96）</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《土石坝安全监测技术规范》（SL551-2012）</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《土石坝养护修理规程》（SL210-2015）</w:t>
      </w:r>
    </w:p>
    <w:p>
      <w:pPr>
        <w:pStyle w:val="59"/>
        <w:tabs>
          <w:tab w:val="left" w:pos="1134"/>
        </w:tabs>
        <w:spacing w:after="0" w:line="360" w:lineRule="auto"/>
        <w:ind w:left="1321"/>
        <w:jc w:val="both"/>
        <w:rPr>
          <w:rFonts w:ascii="宋体" w:hAnsi="宋体"/>
          <w:spacing w:val="-10"/>
          <w:sz w:val="24"/>
          <w:szCs w:val="24"/>
          <w:lang w:eastAsia="zh-CN"/>
        </w:rPr>
      </w:pPr>
    </w:p>
    <w:p>
      <w:pPr>
        <w:jc w:val="both"/>
        <w:outlineLvl w:val="1"/>
        <w:rPr>
          <w:rFonts w:ascii="宋体" w:hAnsi="宋体"/>
          <w:b/>
          <w:sz w:val="24"/>
          <w:lang w:eastAsia="zh-CN"/>
        </w:rPr>
      </w:pPr>
      <w:r>
        <w:rPr>
          <w:rFonts w:ascii="宋体" w:hAnsi="宋体"/>
          <w:b/>
          <w:sz w:val="24"/>
          <w:lang w:eastAsia="zh-CN"/>
        </w:rPr>
        <w:t>4、项目服务范围</w:t>
      </w:r>
    </w:p>
    <w:p>
      <w:pPr>
        <w:pStyle w:val="2"/>
        <w:spacing w:after="0" w:line="360" w:lineRule="auto"/>
        <w:ind w:left="0" w:firstLine="460" w:firstLineChars="200"/>
        <w:jc w:val="both"/>
        <w:rPr>
          <w:spacing w:val="-5"/>
          <w:lang w:val="en-US"/>
        </w:rPr>
      </w:pPr>
      <w:r>
        <w:rPr>
          <w:rFonts w:hint="eastAsia"/>
          <w:spacing w:val="-5"/>
        </w:rPr>
        <w:t>项目服务</w:t>
      </w:r>
      <w:r>
        <w:rPr>
          <w:rFonts w:hint="eastAsia"/>
        </w:rPr>
        <w:t>主要涵盖深圳市深汕特别合作区</w:t>
      </w:r>
      <w:r>
        <w:rPr>
          <w:rFonts w:hint="eastAsia"/>
          <w:shd w:val="solid" w:color="FFFFFF" w:fill="auto"/>
          <w:lang w:val="en-US"/>
        </w:rPr>
        <w:t>赤石镇</w:t>
      </w:r>
      <w:r>
        <w:rPr>
          <w:rFonts w:hint="eastAsia"/>
          <w:shd w:val="solid" w:color="FFFFFF" w:fill="auto"/>
        </w:rPr>
        <w:t>内注册登记的</w:t>
      </w:r>
      <w:r>
        <w:rPr>
          <w:rFonts w:hint="eastAsia"/>
          <w:shd w:val="solid" w:color="FFFFFF" w:fill="auto"/>
          <w:lang w:val="en-US"/>
        </w:rPr>
        <w:t>4</w:t>
      </w:r>
      <w:r>
        <w:rPr>
          <w:rFonts w:hint="eastAsia"/>
        </w:rPr>
        <w:t>座水库及</w:t>
      </w:r>
      <w:r>
        <w:rPr>
          <w:rFonts w:hint="eastAsia"/>
          <w:lang w:val="en-US"/>
        </w:rPr>
        <w:t>8</w:t>
      </w:r>
      <w:r>
        <w:rPr>
          <w:rFonts w:hint="eastAsia"/>
        </w:rPr>
        <w:t>条主要河道</w:t>
      </w:r>
      <w:r>
        <w:rPr>
          <w:rFonts w:hint="eastAsia"/>
          <w:spacing w:val="-5"/>
        </w:rPr>
        <w:t>，</w:t>
      </w:r>
      <w:r>
        <w:rPr>
          <w:rFonts w:hint="eastAsia"/>
          <w:spacing w:val="-5"/>
          <w:lang w:val="en-US"/>
        </w:rPr>
        <w:t>各水库、河道名录如下：</w:t>
      </w:r>
    </w:p>
    <w:p>
      <w:pPr>
        <w:jc w:val="center"/>
        <w:rPr>
          <w:rFonts w:ascii="仿宋" w:hAnsi="仿宋"/>
          <w:b/>
          <w:bCs/>
          <w:sz w:val="21"/>
          <w:szCs w:val="21"/>
          <w:lang w:eastAsia="zh-CN"/>
        </w:rPr>
      </w:pPr>
    </w:p>
    <w:p>
      <w:pPr>
        <w:pStyle w:val="2"/>
      </w:pPr>
    </w:p>
    <w:p>
      <w:pPr>
        <w:jc w:val="center"/>
        <w:rPr>
          <w:rFonts w:ascii="仿宋" w:hAnsi="仿宋"/>
          <w:b/>
          <w:bCs/>
          <w:sz w:val="21"/>
          <w:szCs w:val="21"/>
          <w:lang w:eastAsia="zh-CN"/>
        </w:rPr>
      </w:pPr>
      <w:r>
        <w:rPr>
          <w:rFonts w:ascii="仿宋" w:hAnsi="仿宋"/>
          <w:b/>
          <w:bCs/>
          <w:sz w:val="21"/>
          <w:szCs w:val="21"/>
          <w:lang w:eastAsia="zh-CN"/>
        </w:rPr>
        <w:t>深汕合作区小（2）型水库统计表</w:t>
      </w:r>
    </w:p>
    <w:tbl>
      <w:tblPr>
        <w:tblStyle w:val="20"/>
        <w:tblW w:w="8522" w:type="dxa"/>
        <w:tblInd w:w="0" w:type="dxa"/>
        <w:tblLayout w:type="fixed"/>
        <w:tblCellMar>
          <w:top w:w="0" w:type="dxa"/>
          <w:left w:w="108" w:type="dxa"/>
          <w:bottom w:w="0" w:type="dxa"/>
          <w:right w:w="108" w:type="dxa"/>
        </w:tblCellMar>
      </w:tblPr>
      <w:tblGrid>
        <w:gridCol w:w="1320"/>
        <w:gridCol w:w="1115"/>
        <w:gridCol w:w="1217"/>
        <w:gridCol w:w="1217"/>
        <w:gridCol w:w="1217"/>
        <w:gridCol w:w="1219"/>
        <w:gridCol w:w="1217"/>
      </w:tblGrid>
      <w:tr>
        <w:tblPrEx>
          <w:tblCellMar>
            <w:top w:w="0" w:type="dxa"/>
            <w:left w:w="108" w:type="dxa"/>
            <w:bottom w:w="0" w:type="dxa"/>
            <w:right w:w="108" w:type="dxa"/>
          </w:tblCellMar>
        </w:tblPrEx>
        <w:trPr>
          <w:trHeight w:val="300" w:hRule="atLeast"/>
        </w:trPr>
        <w:tc>
          <w:tcPr>
            <w:tcW w:w="1320" w:type="dxa"/>
            <w:vMerge w:val="restart"/>
            <w:tcBorders>
              <w:top w:val="single" w:color="auto" w:sz="8" w:space="0"/>
              <w:left w:val="single" w:color="auto" w:sz="8" w:space="0"/>
              <w:bottom w:val="single" w:color="000000" w:sz="8" w:space="0"/>
              <w:right w:val="single" w:color="auto" w:sz="8" w:space="0"/>
            </w:tcBorders>
            <w:vAlign w:val="center"/>
          </w:tcPr>
          <w:p>
            <w:pPr>
              <w:spacing w:line="240" w:lineRule="auto"/>
              <w:jc w:val="center"/>
              <w:rPr>
                <w:sz w:val="20"/>
                <w:szCs w:val="20"/>
              </w:rPr>
            </w:pPr>
            <w:r>
              <w:rPr>
                <w:sz w:val="20"/>
                <w:szCs w:val="20"/>
              </w:rPr>
              <w:t>水库名称</w:t>
            </w:r>
          </w:p>
        </w:tc>
        <w:tc>
          <w:tcPr>
            <w:tcW w:w="1115" w:type="dxa"/>
            <w:vMerge w:val="restart"/>
            <w:tcBorders>
              <w:top w:val="single" w:color="auto" w:sz="8" w:space="0"/>
              <w:left w:val="single" w:color="auto" w:sz="8" w:space="0"/>
              <w:bottom w:val="single" w:color="000000" w:sz="8" w:space="0"/>
              <w:right w:val="single" w:color="auto" w:sz="8" w:space="0"/>
            </w:tcBorders>
            <w:vAlign w:val="center"/>
          </w:tcPr>
          <w:p>
            <w:pPr>
              <w:spacing w:line="240" w:lineRule="auto"/>
              <w:jc w:val="center"/>
              <w:rPr>
                <w:sz w:val="20"/>
                <w:szCs w:val="20"/>
              </w:rPr>
            </w:pPr>
            <w:r>
              <w:rPr>
                <w:sz w:val="20"/>
                <w:szCs w:val="20"/>
              </w:rPr>
              <w:t>所在地</w:t>
            </w:r>
          </w:p>
        </w:tc>
        <w:tc>
          <w:tcPr>
            <w:tcW w:w="1217" w:type="dxa"/>
            <w:vMerge w:val="restart"/>
            <w:tcBorders>
              <w:top w:val="single" w:color="auto" w:sz="8" w:space="0"/>
              <w:left w:val="single" w:color="auto" w:sz="8" w:space="0"/>
              <w:bottom w:val="single" w:color="000000" w:sz="8" w:space="0"/>
              <w:right w:val="single" w:color="auto" w:sz="8" w:space="0"/>
            </w:tcBorders>
            <w:vAlign w:val="center"/>
          </w:tcPr>
          <w:p>
            <w:pPr>
              <w:spacing w:line="240" w:lineRule="auto"/>
              <w:jc w:val="center"/>
              <w:rPr>
                <w:sz w:val="20"/>
                <w:szCs w:val="20"/>
              </w:rPr>
            </w:pPr>
            <w:r>
              <w:rPr>
                <w:sz w:val="20"/>
                <w:szCs w:val="20"/>
              </w:rPr>
              <w:t>集雨面积（km</w:t>
            </w:r>
            <w:r>
              <w:rPr>
                <w:sz w:val="20"/>
                <w:szCs w:val="20"/>
                <w:vertAlign w:val="superscript"/>
              </w:rPr>
              <w:t>2</w:t>
            </w:r>
            <w:r>
              <w:rPr>
                <w:sz w:val="20"/>
                <w:szCs w:val="20"/>
              </w:rPr>
              <w:t>）</w:t>
            </w:r>
          </w:p>
        </w:tc>
        <w:tc>
          <w:tcPr>
            <w:tcW w:w="3653" w:type="dxa"/>
            <w:gridSpan w:val="3"/>
            <w:tcBorders>
              <w:top w:val="single" w:color="auto" w:sz="8" w:space="0"/>
              <w:left w:val="nil"/>
              <w:bottom w:val="single" w:color="auto" w:sz="8" w:space="0"/>
              <w:right w:val="single" w:color="000000" w:sz="8" w:space="0"/>
            </w:tcBorders>
            <w:vAlign w:val="center"/>
          </w:tcPr>
          <w:p>
            <w:pPr>
              <w:spacing w:line="240" w:lineRule="auto"/>
              <w:jc w:val="center"/>
              <w:rPr>
                <w:sz w:val="20"/>
                <w:szCs w:val="20"/>
              </w:rPr>
            </w:pPr>
            <w:r>
              <w:rPr>
                <w:sz w:val="20"/>
                <w:szCs w:val="20"/>
              </w:rPr>
              <w:t>库      容（万m³）</w:t>
            </w:r>
          </w:p>
        </w:tc>
        <w:tc>
          <w:tcPr>
            <w:tcW w:w="1217" w:type="dxa"/>
            <w:tcBorders>
              <w:top w:val="single" w:color="auto" w:sz="8" w:space="0"/>
              <w:left w:val="nil"/>
              <w:bottom w:val="nil"/>
              <w:right w:val="single" w:color="auto" w:sz="8" w:space="0"/>
            </w:tcBorders>
            <w:vAlign w:val="center"/>
          </w:tcPr>
          <w:p>
            <w:pPr>
              <w:spacing w:line="240" w:lineRule="auto"/>
              <w:jc w:val="center"/>
              <w:rPr>
                <w:sz w:val="20"/>
                <w:szCs w:val="20"/>
              </w:rPr>
            </w:pPr>
            <w:r>
              <w:rPr>
                <w:sz w:val="20"/>
                <w:szCs w:val="20"/>
              </w:rPr>
              <w:t>灌溉面积</w:t>
            </w:r>
          </w:p>
        </w:tc>
      </w:tr>
      <w:tr>
        <w:tblPrEx>
          <w:tblCellMar>
            <w:top w:w="0" w:type="dxa"/>
            <w:left w:w="108" w:type="dxa"/>
            <w:bottom w:w="0" w:type="dxa"/>
            <w:right w:w="108" w:type="dxa"/>
          </w:tblCellMar>
        </w:tblPrEx>
        <w:trPr>
          <w:trHeight w:val="300" w:hRule="atLeast"/>
        </w:trPr>
        <w:tc>
          <w:tcPr>
            <w:tcW w:w="1320" w:type="dxa"/>
            <w:vMerge w:val="continue"/>
            <w:tcBorders>
              <w:top w:val="single" w:color="auto" w:sz="8" w:space="0"/>
              <w:left w:val="single" w:color="auto" w:sz="8" w:space="0"/>
              <w:bottom w:val="single" w:color="000000" w:sz="8" w:space="0"/>
              <w:right w:val="single" w:color="auto" w:sz="8" w:space="0"/>
            </w:tcBorders>
            <w:vAlign w:val="center"/>
          </w:tcPr>
          <w:p>
            <w:pPr>
              <w:spacing w:line="240" w:lineRule="auto"/>
              <w:jc w:val="center"/>
              <w:rPr>
                <w:sz w:val="20"/>
                <w:szCs w:val="20"/>
              </w:rPr>
            </w:pPr>
          </w:p>
        </w:tc>
        <w:tc>
          <w:tcPr>
            <w:tcW w:w="1115" w:type="dxa"/>
            <w:vMerge w:val="continue"/>
            <w:tcBorders>
              <w:top w:val="single" w:color="auto" w:sz="8" w:space="0"/>
              <w:left w:val="single" w:color="auto" w:sz="8" w:space="0"/>
              <w:bottom w:val="single" w:color="000000" w:sz="8" w:space="0"/>
              <w:right w:val="single" w:color="auto" w:sz="8" w:space="0"/>
            </w:tcBorders>
            <w:vAlign w:val="center"/>
          </w:tcPr>
          <w:p>
            <w:pPr>
              <w:spacing w:line="240" w:lineRule="auto"/>
              <w:jc w:val="center"/>
              <w:rPr>
                <w:sz w:val="20"/>
                <w:szCs w:val="20"/>
              </w:rPr>
            </w:pPr>
          </w:p>
        </w:tc>
        <w:tc>
          <w:tcPr>
            <w:tcW w:w="1217" w:type="dxa"/>
            <w:vMerge w:val="continue"/>
            <w:tcBorders>
              <w:top w:val="single" w:color="auto" w:sz="8" w:space="0"/>
              <w:left w:val="single" w:color="auto" w:sz="8" w:space="0"/>
              <w:bottom w:val="single" w:color="000000" w:sz="8" w:space="0"/>
              <w:right w:val="single" w:color="auto" w:sz="8" w:space="0"/>
            </w:tcBorders>
            <w:vAlign w:val="center"/>
          </w:tcPr>
          <w:p>
            <w:pPr>
              <w:spacing w:line="240" w:lineRule="auto"/>
              <w:jc w:val="center"/>
              <w:rPr>
                <w:sz w:val="20"/>
                <w:szCs w:val="20"/>
              </w:rPr>
            </w:pP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sz w:val="20"/>
                <w:szCs w:val="20"/>
              </w:rPr>
              <w:t>总库容</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sz w:val="20"/>
                <w:szCs w:val="20"/>
              </w:rPr>
              <w:t>正常库容</w:t>
            </w:r>
          </w:p>
        </w:tc>
        <w:tc>
          <w:tcPr>
            <w:tcW w:w="1219" w:type="dxa"/>
            <w:tcBorders>
              <w:top w:val="nil"/>
              <w:left w:val="nil"/>
              <w:bottom w:val="single" w:color="auto" w:sz="8" w:space="0"/>
              <w:right w:val="single" w:color="auto" w:sz="8" w:space="0"/>
            </w:tcBorders>
            <w:vAlign w:val="center"/>
          </w:tcPr>
          <w:p>
            <w:pPr>
              <w:spacing w:line="240" w:lineRule="auto"/>
              <w:jc w:val="center"/>
              <w:rPr>
                <w:sz w:val="20"/>
                <w:szCs w:val="20"/>
              </w:rPr>
            </w:pPr>
            <w:r>
              <w:rPr>
                <w:sz w:val="20"/>
                <w:szCs w:val="20"/>
              </w:rPr>
              <w:t>调洪库容</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sz w:val="20"/>
                <w:szCs w:val="20"/>
              </w:rPr>
              <w:t>（万亩）</w:t>
            </w:r>
          </w:p>
        </w:tc>
      </w:tr>
      <w:tr>
        <w:tblPrEx>
          <w:tblCellMar>
            <w:top w:w="0" w:type="dxa"/>
            <w:left w:w="108" w:type="dxa"/>
            <w:bottom w:w="0" w:type="dxa"/>
            <w:right w:w="108" w:type="dxa"/>
          </w:tblCellMar>
        </w:tblPrEx>
        <w:trPr>
          <w:trHeight w:val="300" w:hRule="atLeast"/>
        </w:trPr>
        <w:tc>
          <w:tcPr>
            <w:tcW w:w="1320" w:type="dxa"/>
            <w:tcBorders>
              <w:top w:val="nil"/>
              <w:left w:val="single" w:color="auto" w:sz="8" w:space="0"/>
              <w:bottom w:val="single" w:color="auto" w:sz="8" w:space="0"/>
              <w:right w:val="single" w:color="auto" w:sz="8" w:space="0"/>
            </w:tcBorders>
            <w:vAlign w:val="center"/>
          </w:tcPr>
          <w:p>
            <w:pPr>
              <w:spacing w:line="240" w:lineRule="auto"/>
              <w:jc w:val="center"/>
              <w:rPr>
                <w:sz w:val="20"/>
                <w:szCs w:val="20"/>
              </w:rPr>
            </w:pPr>
            <w:r>
              <w:rPr>
                <w:sz w:val="20"/>
                <w:szCs w:val="20"/>
              </w:rPr>
              <w:t>洋坑水库</w:t>
            </w:r>
          </w:p>
        </w:tc>
        <w:tc>
          <w:tcPr>
            <w:tcW w:w="1115" w:type="dxa"/>
            <w:vMerge w:val="restart"/>
            <w:tcBorders>
              <w:top w:val="single" w:color="auto" w:sz="4" w:space="0"/>
              <w:left w:val="single" w:color="auto" w:sz="8" w:space="0"/>
              <w:right w:val="single" w:color="auto" w:sz="8" w:space="0"/>
            </w:tcBorders>
            <w:vAlign w:val="center"/>
          </w:tcPr>
          <w:p>
            <w:pPr>
              <w:spacing w:line="240" w:lineRule="auto"/>
              <w:jc w:val="center"/>
              <w:rPr>
                <w:sz w:val="20"/>
                <w:szCs w:val="20"/>
              </w:rPr>
            </w:pPr>
            <w:r>
              <w:rPr>
                <w:sz w:val="20"/>
                <w:szCs w:val="20"/>
              </w:rPr>
              <w:t>赤石镇</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3.84</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22.83</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13.84</w:t>
            </w:r>
          </w:p>
        </w:tc>
        <w:tc>
          <w:tcPr>
            <w:tcW w:w="1219"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8.99</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0.12</w:t>
            </w:r>
          </w:p>
        </w:tc>
      </w:tr>
      <w:tr>
        <w:tblPrEx>
          <w:tblCellMar>
            <w:top w:w="0" w:type="dxa"/>
            <w:left w:w="108" w:type="dxa"/>
            <w:bottom w:w="0" w:type="dxa"/>
            <w:right w:w="108" w:type="dxa"/>
          </w:tblCellMar>
        </w:tblPrEx>
        <w:trPr>
          <w:trHeight w:val="300" w:hRule="atLeast"/>
        </w:trPr>
        <w:tc>
          <w:tcPr>
            <w:tcW w:w="1320" w:type="dxa"/>
            <w:tcBorders>
              <w:top w:val="nil"/>
              <w:left w:val="single" w:color="auto" w:sz="8" w:space="0"/>
              <w:bottom w:val="single" w:color="auto" w:sz="8" w:space="0"/>
              <w:right w:val="single" w:color="auto" w:sz="8" w:space="0"/>
            </w:tcBorders>
            <w:vAlign w:val="center"/>
          </w:tcPr>
          <w:p>
            <w:pPr>
              <w:spacing w:line="240" w:lineRule="auto"/>
              <w:jc w:val="center"/>
              <w:rPr>
                <w:sz w:val="20"/>
                <w:szCs w:val="20"/>
              </w:rPr>
            </w:pPr>
            <w:r>
              <w:rPr>
                <w:sz w:val="20"/>
                <w:szCs w:val="20"/>
              </w:rPr>
              <w:t>新安水库</w:t>
            </w:r>
          </w:p>
        </w:tc>
        <w:tc>
          <w:tcPr>
            <w:tcW w:w="1115" w:type="dxa"/>
            <w:vMerge w:val="continue"/>
            <w:tcBorders>
              <w:left w:val="single" w:color="auto" w:sz="8" w:space="0"/>
              <w:right w:val="single" w:color="auto" w:sz="8" w:space="0"/>
            </w:tcBorders>
            <w:vAlign w:val="center"/>
          </w:tcPr>
          <w:p>
            <w:pPr>
              <w:spacing w:line="240" w:lineRule="auto"/>
              <w:jc w:val="center"/>
              <w:rPr>
                <w:sz w:val="20"/>
                <w:szCs w:val="20"/>
              </w:rPr>
            </w:pP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1.30</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52.03</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24.01</w:t>
            </w:r>
          </w:p>
        </w:tc>
        <w:tc>
          <w:tcPr>
            <w:tcW w:w="1219"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28.02</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0.15</w:t>
            </w:r>
          </w:p>
        </w:tc>
      </w:tr>
      <w:tr>
        <w:tblPrEx>
          <w:tblCellMar>
            <w:top w:w="0" w:type="dxa"/>
            <w:left w:w="108" w:type="dxa"/>
            <w:bottom w:w="0" w:type="dxa"/>
            <w:right w:w="108" w:type="dxa"/>
          </w:tblCellMar>
        </w:tblPrEx>
        <w:trPr>
          <w:trHeight w:val="300" w:hRule="atLeast"/>
        </w:trPr>
        <w:tc>
          <w:tcPr>
            <w:tcW w:w="1320" w:type="dxa"/>
            <w:tcBorders>
              <w:top w:val="single" w:color="auto" w:sz="4" w:space="0"/>
              <w:left w:val="single" w:color="auto" w:sz="8" w:space="0"/>
              <w:bottom w:val="single" w:color="auto" w:sz="8" w:space="0"/>
              <w:right w:val="single" w:color="auto" w:sz="8" w:space="0"/>
            </w:tcBorders>
            <w:vAlign w:val="center"/>
          </w:tcPr>
          <w:p>
            <w:pPr>
              <w:spacing w:line="240" w:lineRule="auto"/>
              <w:jc w:val="center"/>
              <w:rPr>
                <w:sz w:val="20"/>
                <w:szCs w:val="20"/>
              </w:rPr>
            </w:pPr>
            <w:r>
              <w:rPr>
                <w:sz w:val="20"/>
                <w:szCs w:val="20"/>
              </w:rPr>
              <w:t>长坑水库</w:t>
            </w:r>
            <w:r>
              <w:rPr>
                <w:rFonts w:hint="eastAsia" w:ascii="宋体" w:hAnsi="宋体" w:cs="宋体"/>
                <w:sz w:val="20"/>
                <w:szCs w:val="20"/>
              </w:rPr>
              <w:t>①</w:t>
            </w:r>
          </w:p>
        </w:tc>
        <w:tc>
          <w:tcPr>
            <w:tcW w:w="1115" w:type="dxa"/>
            <w:vMerge w:val="continue"/>
            <w:tcBorders>
              <w:left w:val="single" w:color="auto" w:sz="8" w:space="0"/>
              <w:right w:val="single" w:color="auto" w:sz="8" w:space="0"/>
            </w:tcBorders>
            <w:vAlign w:val="center"/>
          </w:tcPr>
          <w:p>
            <w:pPr>
              <w:spacing w:line="240" w:lineRule="auto"/>
              <w:jc w:val="center"/>
              <w:rPr>
                <w:sz w:val="20"/>
                <w:szCs w:val="20"/>
              </w:rPr>
            </w:pP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0.27</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8.92</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6.30</w:t>
            </w:r>
          </w:p>
        </w:tc>
        <w:tc>
          <w:tcPr>
            <w:tcW w:w="1219"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2.62</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0.06</w:t>
            </w:r>
          </w:p>
        </w:tc>
      </w:tr>
      <w:tr>
        <w:tblPrEx>
          <w:tblCellMar>
            <w:top w:w="0" w:type="dxa"/>
            <w:left w:w="108" w:type="dxa"/>
            <w:bottom w:w="0" w:type="dxa"/>
            <w:right w:w="108" w:type="dxa"/>
          </w:tblCellMar>
        </w:tblPrEx>
        <w:trPr>
          <w:trHeight w:val="300" w:hRule="atLeast"/>
        </w:trPr>
        <w:tc>
          <w:tcPr>
            <w:tcW w:w="1320" w:type="dxa"/>
            <w:tcBorders>
              <w:top w:val="nil"/>
              <w:left w:val="single" w:color="auto" w:sz="8" w:space="0"/>
              <w:bottom w:val="single" w:color="auto" w:sz="8" w:space="0"/>
              <w:right w:val="single" w:color="auto" w:sz="8" w:space="0"/>
            </w:tcBorders>
            <w:vAlign w:val="center"/>
          </w:tcPr>
          <w:p>
            <w:pPr>
              <w:spacing w:line="240" w:lineRule="auto"/>
              <w:jc w:val="center"/>
              <w:rPr>
                <w:sz w:val="20"/>
                <w:szCs w:val="20"/>
              </w:rPr>
            </w:pPr>
            <w:r>
              <w:rPr>
                <w:sz w:val="20"/>
                <w:szCs w:val="20"/>
              </w:rPr>
              <w:t>黄</w:t>
            </w:r>
            <w:r>
              <w:rPr>
                <w:rFonts w:hint="eastAsia"/>
                <w:sz w:val="20"/>
                <w:szCs w:val="20"/>
              </w:rPr>
              <w:t>京</w:t>
            </w:r>
            <w:r>
              <w:rPr>
                <w:sz w:val="20"/>
                <w:szCs w:val="20"/>
              </w:rPr>
              <w:t>铺水库</w:t>
            </w:r>
          </w:p>
        </w:tc>
        <w:tc>
          <w:tcPr>
            <w:tcW w:w="1115" w:type="dxa"/>
            <w:vMerge w:val="continue"/>
            <w:tcBorders>
              <w:left w:val="single" w:color="auto" w:sz="8" w:space="0"/>
              <w:bottom w:val="single" w:color="000000" w:sz="8" w:space="0"/>
              <w:right w:val="single" w:color="auto" w:sz="8" w:space="0"/>
            </w:tcBorders>
            <w:vAlign w:val="center"/>
          </w:tcPr>
          <w:p>
            <w:pPr>
              <w:spacing w:line="240" w:lineRule="auto"/>
              <w:jc w:val="center"/>
              <w:rPr>
                <w:sz w:val="20"/>
                <w:szCs w:val="20"/>
              </w:rPr>
            </w:pP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0.58</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3.43</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1.50</w:t>
            </w:r>
          </w:p>
        </w:tc>
        <w:tc>
          <w:tcPr>
            <w:tcW w:w="1219"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1.93</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0.02</w:t>
            </w:r>
          </w:p>
        </w:tc>
      </w:tr>
      <w:tr>
        <w:tblPrEx>
          <w:tblCellMar>
            <w:top w:w="0" w:type="dxa"/>
            <w:left w:w="108" w:type="dxa"/>
            <w:bottom w:w="0" w:type="dxa"/>
            <w:right w:w="108" w:type="dxa"/>
          </w:tblCellMar>
        </w:tblPrEx>
        <w:trPr>
          <w:trHeight w:val="300" w:hRule="atLeast"/>
        </w:trPr>
        <w:tc>
          <w:tcPr>
            <w:tcW w:w="2435" w:type="dxa"/>
            <w:gridSpan w:val="2"/>
            <w:tcBorders>
              <w:top w:val="single" w:color="auto" w:sz="8" w:space="0"/>
              <w:left w:val="single" w:color="auto" w:sz="8" w:space="0"/>
              <w:bottom w:val="single" w:color="auto" w:sz="8" w:space="0"/>
              <w:right w:val="single" w:color="000000" w:sz="8" w:space="0"/>
            </w:tcBorders>
            <w:vAlign w:val="center"/>
          </w:tcPr>
          <w:p>
            <w:pPr>
              <w:spacing w:line="240" w:lineRule="auto"/>
              <w:jc w:val="center"/>
              <w:rPr>
                <w:sz w:val="20"/>
                <w:szCs w:val="20"/>
              </w:rPr>
            </w:pPr>
            <w:r>
              <w:rPr>
                <w:sz w:val="20"/>
                <w:szCs w:val="20"/>
              </w:rPr>
              <w:t>合    计</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lang w:eastAsia="zh-CN"/>
              </w:rPr>
            </w:pPr>
            <w:r>
              <w:rPr>
                <w:rFonts w:hint="eastAsia"/>
                <w:color w:val="000000"/>
                <w:sz w:val="20"/>
                <w:szCs w:val="20"/>
                <w:lang w:eastAsia="zh-CN"/>
              </w:rPr>
              <w:t>87.21</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lang w:eastAsia="zh-CN"/>
              </w:rPr>
            </w:pPr>
            <w:r>
              <w:rPr>
                <w:rFonts w:hint="eastAsia"/>
                <w:color w:val="000000"/>
                <w:sz w:val="20"/>
                <w:szCs w:val="20"/>
                <w:lang w:eastAsia="zh-CN"/>
              </w:rPr>
              <w:t>45.65</w:t>
            </w:r>
          </w:p>
        </w:tc>
        <w:tc>
          <w:tcPr>
            <w:tcW w:w="1219" w:type="dxa"/>
            <w:tcBorders>
              <w:top w:val="nil"/>
              <w:left w:val="nil"/>
              <w:bottom w:val="single" w:color="auto" w:sz="8" w:space="0"/>
              <w:right w:val="single" w:color="auto" w:sz="8" w:space="0"/>
            </w:tcBorders>
            <w:vAlign w:val="center"/>
          </w:tcPr>
          <w:p>
            <w:pPr>
              <w:spacing w:line="240" w:lineRule="auto"/>
              <w:jc w:val="center"/>
              <w:rPr>
                <w:sz w:val="20"/>
                <w:szCs w:val="20"/>
                <w:lang w:eastAsia="zh-CN"/>
              </w:rPr>
            </w:pPr>
            <w:r>
              <w:rPr>
                <w:rFonts w:hint="eastAsia"/>
                <w:color w:val="000000"/>
                <w:sz w:val="20"/>
                <w:szCs w:val="20"/>
                <w:lang w:eastAsia="zh-CN"/>
              </w:rPr>
              <w:t>41.56</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lang w:eastAsia="zh-CN"/>
              </w:rPr>
            </w:pPr>
            <w:r>
              <w:rPr>
                <w:rFonts w:hint="eastAsia"/>
                <w:sz w:val="20"/>
                <w:szCs w:val="20"/>
                <w:lang w:eastAsia="zh-CN"/>
              </w:rPr>
              <w:t>0.35</w:t>
            </w:r>
          </w:p>
        </w:tc>
      </w:tr>
    </w:tbl>
    <w:p>
      <w:pPr>
        <w:shd w:val="clear" w:color="auto" w:fill="FFFFFF" w:themeFill="background1"/>
        <w:spacing w:line="276" w:lineRule="auto"/>
      </w:pPr>
    </w:p>
    <w:tbl>
      <w:tblPr>
        <w:tblStyle w:val="20"/>
        <w:tblW w:w="8523" w:type="dxa"/>
        <w:tblInd w:w="0" w:type="dxa"/>
        <w:tblLayout w:type="fixed"/>
        <w:tblCellMar>
          <w:top w:w="0" w:type="dxa"/>
          <w:left w:w="0" w:type="dxa"/>
          <w:bottom w:w="0" w:type="dxa"/>
          <w:right w:w="0" w:type="dxa"/>
        </w:tblCellMar>
      </w:tblPr>
      <w:tblGrid>
        <w:gridCol w:w="695"/>
        <w:gridCol w:w="1472"/>
        <w:gridCol w:w="1378"/>
        <w:gridCol w:w="1609"/>
        <w:gridCol w:w="1665"/>
        <w:gridCol w:w="1704"/>
      </w:tblGrid>
      <w:tr>
        <w:tblPrEx>
          <w:tblCellMar>
            <w:top w:w="0" w:type="dxa"/>
            <w:left w:w="0" w:type="dxa"/>
            <w:bottom w:w="0" w:type="dxa"/>
            <w:right w:w="0" w:type="dxa"/>
          </w:tblCellMar>
        </w:tblPrEx>
        <w:trPr>
          <w:trHeight w:val="555" w:hRule="atLeast"/>
        </w:trPr>
        <w:tc>
          <w:tcPr>
            <w:tcW w:w="8523" w:type="dxa"/>
            <w:gridSpan w:val="6"/>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市管1条河道名录</w:t>
            </w:r>
          </w:p>
        </w:tc>
      </w:tr>
      <w:tr>
        <w:tblPrEx>
          <w:tblCellMar>
            <w:top w:w="0" w:type="dxa"/>
            <w:left w:w="0" w:type="dxa"/>
            <w:bottom w:w="0" w:type="dxa"/>
            <w:right w:w="0" w:type="dxa"/>
          </w:tblCellMar>
        </w:tblPrEx>
        <w:trPr>
          <w:trHeight w:val="55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序号</w:t>
            </w:r>
          </w:p>
        </w:tc>
        <w:tc>
          <w:tcPr>
            <w:tcW w:w="147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河流名称</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所属镇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管养长度（km）</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水域面积(万m2)</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陆域面积(万m2)</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w:t>
            </w:r>
          </w:p>
        </w:tc>
        <w:tc>
          <w:tcPr>
            <w:tcW w:w="147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赤石河</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赤石镇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28.18</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466.79</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305.18</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p>
        </w:tc>
        <w:tc>
          <w:tcPr>
            <w:tcW w:w="147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赤石河上游</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赤石镇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15.5</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p>
        </w:tc>
      </w:tr>
    </w:tbl>
    <w:p>
      <w:pPr>
        <w:pStyle w:val="2"/>
      </w:pPr>
    </w:p>
    <w:tbl>
      <w:tblPr>
        <w:tblStyle w:val="20"/>
        <w:tblW w:w="8523" w:type="dxa"/>
        <w:tblInd w:w="0" w:type="dxa"/>
        <w:tblLayout w:type="fixed"/>
        <w:tblCellMar>
          <w:top w:w="0" w:type="dxa"/>
          <w:left w:w="0" w:type="dxa"/>
          <w:bottom w:w="0" w:type="dxa"/>
          <w:right w:w="0" w:type="dxa"/>
        </w:tblCellMar>
      </w:tblPr>
      <w:tblGrid>
        <w:gridCol w:w="695"/>
        <w:gridCol w:w="1472"/>
        <w:gridCol w:w="1378"/>
        <w:gridCol w:w="1609"/>
        <w:gridCol w:w="1665"/>
        <w:gridCol w:w="1704"/>
      </w:tblGrid>
      <w:tr>
        <w:tblPrEx>
          <w:tblCellMar>
            <w:top w:w="0" w:type="dxa"/>
            <w:left w:w="0" w:type="dxa"/>
            <w:bottom w:w="0" w:type="dxa"/>
            <w:right w:w="0" w:type="dxa"/>
          </w:tblCellMar>
        </w:tblPrEx>
        <w:trPr>
          <w:trHeight w:val="555" w:hRule="atLeast"/>
        </w:trPr>
        <w:tc>
          <w:tcPr>
            <w:tcW w:w="8523" w:type="dxa"/>
            <w:gridSpan w:val="6"/>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区管7条河道名录</w:t>
            </w:r>
          </w:p>
        </w:tc>
      </w:tr>
      <w:tr>
        <w:tblPrEx>
          <w:tblCellMar>
            <w:top w:w="0" w:type="dxa"/>
            <w:left w:w="0" w:type="dxa"/>
            <w:bottom w:w="0" w:type="dxa"/>
            <w:right w:w="0" w:type="dxa"/>
          </w:tblCellMar>
        </w:tblPrEx>
        <w:trPr>
          <w:trHeight w:val="55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序号</w:t>
            </w:r>
          </w:p>
        </w:tc>
        <w:tc>
          <w:tcPr>
            <w:tcW w:w="147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河流名称</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所属镇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管养长度（km）</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水域面积(万m2)</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陆域面积(万m2)</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w:t>
            </w:r>
          </w:p>
        </w:tc>
        <w:tc>
          <w:tcPr>
            <w:tcW w:w="147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东坑水</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赤石镇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4.64</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9.03</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23.42</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2</w:t>
            </w:r>
          </w:p>
        </w:tc>
        <w:tc>
          <w:tcPr>
            <w:tcW w:w="147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笼山水</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赤石镇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6.25</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31.82</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31.55</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3</w:t>
            </w:r>
          </w:p>
        </w:tc>
        <w:tc>
          <w:tcPr>
            <w:tcW w:w="147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碗窑洞</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赤石镇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5.21</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16.30</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26.72</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4</w:t>
            </w:r>
          </w:p>
        </w:tc>
        <w:tc>
          <w:tcPr>
            <w:tcW w:w="147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大蕉园</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赤石镇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8.22</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17.84</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40.54</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5</w:t>
            </w:r>
          </w:p>
        </w:tc>
        <w:tc>
          <w:tcPr>
            <w:tcW w:w="1472"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spacing w:line="240" w:lineRule="auto"/>
              <w:jc w:val="center"/>
              <w:textAlignment w:val="center"/>
            </w:pPr>
            <w:r>
              <w:rPr>
                <w:rFonts w:hint="eastAsia"/>
                <w:lang w:eastAsia="zh-CN"/>
              </w:rPr>
              <w:t>龙眼溪</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赤石镇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3.16</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8.07</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15.29</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6</w:t>
            </w:r>
          </w:p>
        </w:tc>
        <w:tc>
          <w:tcPr>
            <w:tcW w:w="147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围王爷溪</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赤石镇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3.13</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7.00</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15.13</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7</w:t>
            </w:r>
          </w:p>
        </w:tc>
        <w:tc>
          <w:tcPr>
            <w:tcW w:w="147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长坑水</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赤石镇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2.16</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5.09</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10.19</w:t>
            </w:r>
          </w:p>
        </w:tc>
      </w:tr>
      <w:tr>
        <w:tblPrEx>
          <w:tblCellMar>
            <w:top w:w="0" w:type="dxa"/>
            <w:left w:w="0" w:type="dxa"/>
            <w:bottom w:w="0" w:type="dxa"/>
            <w:right w:w="0" w:type="dxa"/>
          </w:tblCellMar>
        </w:tblPrEx>
        <w:trPr>
          <w:trHeight w:val="285" w:hRule="atLeast"/>
        </w:trPr>
        <w:tc>
          <w:tcPr>
            <w:tcW w:w="3545" w:type="dxa"/>
            <w:gridSpan w:val="3"/>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合计</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32.77</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95.15</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162.84</w:t>
            </w:r>
          </w:p>
        </w:tc>
      </w:tr>
    </w:tbl>
    <w:p>
      <w:pPr>
        <w:jc w:val="center"/>
        <w:rPr>
          <w:rFonts w:ascii="仿宋" w:hAnsi="仿宋"/>
          <w:b/>
          <w:bCs/>
          <w:sz w:val="21"/>
          <w:szCs w:val="21"/>
        </w:rPr>
      </w:pPr>
    </w:p>
    <w:p>
      <w:pPr>
        <w:pStyle w:val="2"/>
        <w:spacing w:after="0" w:line="360" w:lineRule="auto"/>
        <w:ind w:left="0" w:firstLine="460" w:firstLineChars="200"/>
        <w:jc w:val="both"/>
        <w:rPr>
          <w:rFonts w:hint="eastAsia"/>
          <w:shd w:val="solid" w:color="FFFFFF" w:fill="auto"/>
        </w:rPr>
      </w:pPr>
      <w:r>
        <w:rPr>
          <w:rFonts w:hint="eastAsia"/>
          <w:spacing w:val="-5"/>
        </w:rPr>
        <w:t>具体包括</w:t>
      </w:r>
      <w:r>
        <w:rPr>
          <w:rFonts w:hint="eastAsia"/>
          <w:shd w:val="solid" w:color="FFFFFF" w:fill="auto"/>
        </w:rPr>
        <w:t>小（</w:t>
      </w:r>
      <w:r>
        <w:rPr>
          <w:rFonts w:hint="eastAsia"/>
          <w:shd w:val="solid" w:color="FFFFFF" w:fill="auto"/>
          <w:lang w:val="en-US"/>
        </w:rPr>
        <w:t>1</w:t>
      </w:r>
      <w:r>
        <w:rPr>
          <w:rFonts w:hint="eastAsia"/>
          <w:shd w:val="solid" w:color="FFFFFF" w:fill="auto"/>
        </w:rPr>
        <w:t>）型</w:t>
      </w:r>
      <w:r>
        <w:rPr>
          <w:rFonts w:hint="eastAsia"/>
          <w:shd w:val="solid" w:color="FFFFFF" w:fill="auto"/>
          <w:lang w:val="en-US"/>
        </w:rPr>
        <w:t>/小（2）型水库4</w:t>
      </w:r>
      <w:r>
        <w:rPr>
          <w:rFonts w:hint="eastAsia"/>
          <w:shd w:val="solid" w:color="FFFFFF" w:fill="auto"/>
        </w:rPr>
        <w:t>座（</w:t>
      </w:r>
      <w:r>
        <w:rPr>
          <w:rFonts w:hint="eastAsia"/>
          <w:shd w:val="solid" w:color="FFFFFF" w:fill="auto"/>
          <w:lang w:val="en-US"/>
        </w:rPr>
        <w:t>新安水库、黄京铺水库、赤石长坑水库、洋坑水库</w:t>
      </w:r>
      <w:r>
        <w:rPr>
          <w:rFonts w:hint="eastAsia"/>
          <w:shd w:val="solid" w:color="FFFFFF" w:fill="auto"/>
        </w:rPr>
        <w:t>）及</w:t>
      </w:r>
      <w:r>
        <w:rPr>
          <w:rFonts w:hint="eastAsia"/>
          <w:shd w:val="solid" w:color="FFFFFF" w:fill="auto"/>
          <w:lang w:val="en-US"/>
        </w:rPr>
        <w:t>8</w:t>
      </w:r>
      <w:r>
        <w:rPr>
          <w:rFonts w:hint="eastAsia"/>
          <w:shd w:val="solid" w:color="FFFFFF" w:fill="auto"/>
        </w:rPr>
        <w:t>条河道（</w:t>
      </w:r>
      <w:r>
        <w:rPr>
          <w:rFonts w:hint="eastAsia"/>
          <w:shd w:val="solid" w:color="FFFFFF" w:fill="auto"/>
          <w:lang w:val="en-US"/>
        </w:rPr>
        <w:t>赤石河上游（赤石河河道-明热河汇入口以上）、龙眼溪、围王爷溪、长坑水、笼山水、东坑水、大蕉园、碗窑洞）共计48.27</w:t>
      </w:r>
      <w:r>
        <w:rPr>
          <w:shd w:val="solid" w:color="FFFFFF" w:fill="auto"/>
          <w:lang w:val="en-US"/>
        </w:rPr>
        <w:t>k</w:t>
      </w:r>
      <w:r>
        <w:rPr>
          <w:rFonts w:hint="eastAsia"/>
        </w:rPr>
        <w:t>m河道</w:t>
      </w:r>
      <w:r>
        <w:rPr>
          <w:spacing w:val="-5"/>
        </w:rPr>
        <w:t>及</w:t>
      </w:r>
      <w:r>
        <w:rPr>
          <w:rFonts w:hint="eastAsia"/>
          <w:spacing w:val="-5"/>
          <w:lang w:val="en-US"/>
        </w:rPr>
        <w:t>绿化、闸门等</w:t>
      </w:r>
      <w:r>
        <w:rPr>
          <w:spacing w:val="-5"/>
        </w:rPr>
        <w:t>附属设施</w:t>
      </w:r>
      <w:r>
        <w:rPr>
          <w:rFonts w:hint="eastAsia"/>
          <w:spacing w:val="-5"/>
        </w:rPr>
        <w:t>。</w:t>
      </w:r>
    </w:p>
    <w:p>
      <w:pPr>
        <w:jc w:val="both"/>
        <w:outlineLvl w:val="1"/>
        <w:rPr>
          <w:rFonts w:ascii="宋体" w:hAnsi="宋体"/>
          <w:b/>
          <w:sz w:val="24"/>
          <w:lang w:eastAsia="zh-CN"/>
        </w:rPr>
      </w:pPr>
      <w:r>
        <w:rPr>
          <w:rFonts w:hint="eastAsia" w:ascii="宋体" w:hAnsi="宋体"/>
          <w:b/>
          <w:sz w:val="24"/>
          <w:lang w:eastAsia="zh-CN"/>
        </w:rPr>
        <w:t>5、项目主要工作内容</w:t>
      </w:r>
    </w:p>
    <w:p>
      <w:pPr>
        <w:pStyle w:val="2"/>
        <w:spacing w:after="0" w:line="360" w:lineRule="auto"/>
        <w:ind w:left="0" w:firstLine="480" w:firstLineChars="200"/>
        <w:jc w:val="both"/>
      </w:pPr>
      <w:r>
        <w:t>日常项目包含</w:t>
      </w:r>
      <w:r>
        <w:rPr>
          <w:rFonts w:hint="eastAsia"/>
          <w:lang w:val="en-US"/>
        </w:rPr>
        <w:t>以下</w:t>
      </w:r>
      <w:r>
        <w:t>工作内容</w:t>
      </w:r>
      <w:r>
        <w:rPr>
          <w:rFonts w:hint="eastAsia"/>
        </w:rPr>
        <w:t>，</w:t>
      </w:r>
      <w:r>
        <w:t>详见</w:t>
      </w:r>
      <w:r>
        <w:rPr>
          <w:rFonts w:hint="eastAsia"/>
        </w:rPr>
        <w:t>“项目管理要求”的相关内容：</w:t>
      </w:r>
    </w:p>
    <w:p>
      <w:pPr>
        <w:pStyle w:val="2"/>
        <w:spacing w:after="0" w:line="360" w:lineRule="auto"/>
        <w:ind w:left="0" w:firstLine="480" w:firstLineChars="200"/>
        <w:jc w:val="both"/>
      </w:pPr>
      <w:r>
        <w:rPr>
          <w:rFonts w:hint="eastAsia"/>
        </w:rPr>
        <w:t>（</w:t>
      </w:r>
      <w:r>
        <w:t>1</w:t>
      </w:r>
      <w:r>
        <w:rPr>
          <w:rFonts w:hint="eastAsia"/>
        </w:rPr>
        <w:t>）</w:t>
      </w:r>
      <w:r>
        <w:rPr>
          <w:rFonts w:hint="eastAsia"/>
          <w:lang w:val="en-US"/>
        </w:rPr>
        <w:t>4座</w:t>
      </w:r>
      <w:r>
        <w:rPr>
          <w:rFonts w:hint="eastAsia"/>
        </w:rPr>
        <w:t>水库与</w:t>
      </w:r>
      <w:r>
        <w:rPr>
          <w:rFonts w:hint="eastAsia"/>
          <w:lang w:val="en-US"/>
        </w:rPr>
        <w:t>8条</w:t>
      </w:r>
      <w:r>
        <w:rPr>
          <w:rFonts w:hint="eastAsia"/>
        </w:rPr>
        <w:t>河道的巡查、</w:t>
      </w:r>
      <w:r>
        <w:rPr>
          <w:rFonts w:hint="eastAsia"/>
          <w:lang w:val="en-US"/>
        </w:rPr>
        <w:t>管理和养护</w:t>
      </w:r>
      <w:r>
        <w:rPr>
          <w:rFonts w:hint="eastAsia"/>
        </w:rPr>
        <w:t>；</w:t>
      </w:r>
    </w:p>
    <w:p>
      <w:pPr>
        <w:pStyle w:val="2"/>
        <w:spacing w:after="0" w:line="360" w:lineRule="auto"/>
        <w:ind w:left="0" w:firstLine="480" w:firstLineChars="200"/>
        <w:jc w:val="both"/>
      </w:pPr>
      <w:r>
        <w:rPr>
          <w:rFonts w:hint="eastAsia"/>
        </w:rPr>
        <w:t>（</w:t>
      </w:r>
      <w:r>
        <w:t>2</w:t>
      </w:r>
      <w:r>
        <w:rPr>
          <w:rFonts w:hint="eastAsia"/>
        </w:rPr>
        <w:t>）</w:t>
      </w:r>
      <w:r>
        <w:rPr>
          <w:rFonts w:hint="eastAsia"/>
          <w:lang w:val="en-US"/>
        </w:rPr>
        <w:t>4座</w:t>
      </w:r>
      <w:r>
        <w:rPr>
          <w:rFonts w:hint="eastAsia"/>
        </w:rPr>
        <w:t>水库与</w:t>
      </w:r>
      <w:r>
        <w:rPr>
          <w:rFonts w:hint="eastAsia"/>
          <w:lang w:val="en-US"/>
        </w:rPr>
        <w:t>8条</w:t>
      </w:r>
      <w:r>
        <w:rPr>
          <w:rFonts w:hint="eastAsia"/>
        </w:rPr>
        <w:t>河道</w:t>
      </w:r>
      <w:r>
        <w:rPr>
          <w:rFonts w:hint="eastAsia"/>
          <w:lang w:val="en-US"/>
        </w:rPr>
        <w:t>水域、陆域</w:t>
      </w:r>
      <w:r>
        <w:t>保洁</w:t>
      </w:r>
      <w:r>
        <w:rPr>
          <w:rFonts w:hint="eastAsia"/>
        </w:rPr>
        <w:t>；</w:t>
      </w:r>
    </w:p>
    <w:p>
      <w:pPr>
        <w:pStyle w:val="2"/>
        <w:spacing w:after="0" w:line="360" w:lineRule="auto"/>
        <w:ind w:left="0" w:firstLine="480" w:firstLineChars="200"/>
        <w:jc w:val="both"/>
      </w:pPr>
      <w:r>
        <w:rPr>
          <w:rFonts w:hint="eastAsia"/>
        </w:rPr>
        <w:t>（</w:t>
      </w:r>
      <w:r>
        <w:t>3</w:t>
      </w:r>
      <w:r>
        <w:rPr>
          <w:rFonts w:hint="eastAsia"/>
        </w:rPr>
        <w:t>）</w:t>
      </w:r>
      <w:r>
        <w:rPr>
          <w:rFonts w:hint="eastAsia"/>
          <w:lang w:val="en-US"/>
        </w:rPr>
        <w:t>4座</w:t>
      </w:r>
      <w:r>
        <w:rPr>
          <w:rFonts w:hint="eastAsia"/>
        </w:rPr>
        <w:t>水库与</w:t>
      </w:r>
      <w:r>
        <w:rPr>
          <w:rFonts w:hint="eastAsia"/>
          <w:lang w:val="en-US"/>
        </w:rPr>
        <w:t>8条</w:t>
      </w:r>
      <w:r>
        <w:rPr>
          <w:rFonts w:hint="eastAsia"/>
        </w:rPr>
        <w:t>河道的</w:t>
      </w:r>
      <w:r>
        <w:t>绿化养护</w:t>
      </w:r>
      <w:r>
        <w:rPr>
          <w:rFonts w:hint="eastAsia"/>
        </w:rPr>
        <w:t>；</w:t>
      </w:r>
    </w:p>
    <w:p>
      <w:pPr>
        <w:pStyle w:val="2"/>
        <w:spacing w:after="0" w:line="360" w:lineRule="auto"/>
        <w:ind w:left="0" w:firstLine="480" w:firstLineChars="200"/>
        <w:jc w:val="both"/>
      </w:pPr>
      <w:r>
        <w:rPr>
          <w:rFonts w:hint="eastAsia"/>
        </w:rPr>
        <w:t>（</w:t>
      </w:r>
      <w:r>
        <w:t>4</w:t>
      </w:r>
      <w:r>
        <w:rPr>
          <w:rFonts w:hint="eastAsia"/>
        </w:rPr>
        <w:t>）</w:t>
      </w:r>
      <w:r>
        <w:rPr>
          <w:rFonts w:hint="eastAsia"/>
          <w:lang w:val="en-US"/>
        </w:rPr>
        <w:t>4座水库的大坝、溢洪道、输水涵管、防汛道路等工程设施和闸门、启闭机、机电设备等设备设施（含金属设备）运行养护、损毁修复；8条河道陂头、水闸等设备设施（含金属设备）养护、损毁修复</w:t>
      </w:r>
      <w:r>
        <w:rPr>
          <w:rFonts w:hint="eastAsia"/>
        </w:rPr>
        <w:t>；</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第二条</w:t>
      </w:r>
      <w:r>
        <w:rPr>
          <w:rFonts w:hint="eastAsia" w:ascii="黑体" w:hAnsi="黑体" w:eastAsia="黑体"/>
          <w:b/>
          <w:sz w:val="28"/>
          <w:lang w:eastAsia="zh-CN"/>
        </w:rPr>
        <w:t xml:space="preserve"> </w:t>
      </w:r>
      <w:r>
        <w:rPr>
          <w:rFonts w:ascii="黑体" w:hAnsi="黑体" w:eastAsia="黑体"/>
          <w:b/>
          <w:sz w:val="28"/>
          <w:lang w:eastAsia="zh-CN"/>
        </w:rPr>
        <w:t>合同期限</w:t>
      </w:r>
    </w:p>
    <w:p>
      <w:pPr>
        <w:pStyle w:val="2"/>
        <w:spacing w:after="0" w:line="360" w:lineRule="auto"/>
        <w:ind w:left="0"/>
        <w:jc w:val="both"/>
        <w:rPr>
          <w:shd w:val="solid" w:color="FFFFFF" w:fill="auto"/>
          <w:lang w:val="en-US"/>
        </w:rPr>
      </w:pPr>
      <w:r>
        <w:rPr>
          <w:rFonts w:hint="eastAsia"/>
          <w:shd w:val="solid" w:color="FFFFFF" w:fill="auto"/>
          <w:lang w:val="en-US"/>
        </w:rPr>
        <w:t>1、服务期限</w:t>
      </w:r>
    </w:p>
    <w:p>
      <w:pPr>
        <w:pStyle w:val="2"/>
        <w:spacing w:after="0" w:line="360" w:lineRule="auto"/>
        <w:ind w:left="0" w:firstLine="480" w:firstLineChars="200"/>
        <w:jc w:val="both"/>
      </w:pPr>
      <w:r>
        <w:rPr>
          <w:rFonts w:hint="eastAsia"/>
          <w:shd w:val="solid" w:color="FFFFFF" w:fill="auto"/>
        </w:rPr>
        <w:t>本项目合同暂定期为自合同签订之日起至20</w:t>
      </w:r>
      <w:r>
        <w:rPr>
          <w:rFonts w:hint="eastAsia"/>
          <w:shd w:val="solid" w:color="FFFFFF" w:fill="auto"/>
          <w:lang w:val="en-US"/>
        </w:rPr>
        <w:t>23</w:t>
      </w:r>
      <w:r>
        <w:rPr>
          <w:rFonts w:hint="eastAsia"/>
          <w:shd w:val="solid" w:color="FFFFFF" w:fill="auto"/>
        </w:rPr>
        <w:t>年</w:t>
      </w:r>
      <w:r>
        <w:rPr>
          <w:rFonts w:hint="eastAsia"/>
          <w:shd w:val="solid" w:color="FFFFFF" w:fill="auto"/>
          <w:lang w:val="en-US"/>
        </w:rPr>
        <w:t>1</w:t>
      </w:r>
      <w:r>
        <w:rPr>
          <w:rFonts w:hint="eastAsia"/>
          <w:shd w:val="solid" w:color="FFFFFF" w:fill="auto"/>
        </w:rPr>
        <w:t>月</w:t>
      </w:r>
      <w:r>
        <w:rPr>
          <w:rFonts w:hint="eastAsia"/>
          <w:shd w:val="solid" w:color="FFFFFF" w:fill="auto"/>
          <w:lang w:val="en-US"/>
        </w:rPr>
        <w:t>31</w:t>
      </w:r>
      <w:r>
        <w:rPr>
          <w:rFonts w:hint="eastAsia"/>
          <w:shd w:val="solid" w:color="FFFFFF" w:fill="auto"/>
        </w:rPr>
        <w:t>日。</w:t>
      </w:r>
    </w:p>
    <w:p>
      <w:pPr>
        <w:pStyle w:val="2"/>
        <w:spacing w:after="0" w:line="360" w:lineRule="auto"/>
        <w:ind w:left="0"/>
        <w:jc w:val="both"/>
        <w:rPr>
          <w:lang w:val="en-US"/>
        </w:rPr>
      </w:pPr>
      <w:r>
        <w:rPr>
          <w:rFonts w:hint="eastAsia"/>
          <w:lang w:val="en-US"/>
        </w:rPr>
        <w:t>2、续签条款</w:t>
      </w:r>
    </w:p>
    <w:p>
      <w:pPr>
        <w:pStyle w:val="2"/>
        <w:spacing w:after="0" w:line="360" w:lineRule="auto"/>
        <w:ind w:left="0" w:firstLine="480" w:firstLineChars="200"/>
        <w:jc w:val="both"/>
        <w:rPr>
          <w:szCs w:val="21"/>
          <w:highlight w:val="yellow"/>
          <w:u w:val="single"/>
          <w:lang w:val="en-US"/>
        </w:rPr>
      </w:pPr>
      <w:r>
        <w:rPr>
          <w:rFonts w:hint="eastAsia"/>
          <w:szCs w:val="21"/>
          <w:highlight w:val="yellow"/>
          <w:u w:val="single"/>
          <w:lang w:val="en-US"/>
        </w:rPr>
        <w:t>本项目服务期限分三期：第一期为10个月（自合同签订之日至2023年1月31日，合同实际开始时间以中标通知书发放为准）；第二期为一年（2023年2月1日至2024年1月31日）；第三期为一年（2024年2月1日至2025年1月31日）。本项目在深汕特别合作区继续委托我公司开展河湖管养工作的前提下可续签，本项目合同期满后，甲方可根据实际情况及乙方履约情况确定合同期限是否延长或续签，合同第一年为本次招标的中标服务期限，一年一签，最多续签2次，最长不超过34个月。甲方可根据实际情况终止合同，并不再续签。合同项目提前终止时，按照实际工程量支付费用，甲方不负任何补偿责任。</w:t>
      </w:r>
    </w:p>
    <w:p>
      <w:pPr>
        <w:spacing w:before="312" w:beforeLines="100" w:after="240"/>
        <w:jc w:val="both"/>
        <w:outlineLvl w:val="0"/>
        <w:rPr>
          <w:rFonts w:ascii="宋体" w:hAnsi="宋体" w:cs="宋体"/>
          <w:sz w:val="24"/>
          <w:szCs w:val="24"/>
          <w:lang w:val="zh-CN" w:eastAsia="zh-CN" w:bidi="zh-CN"/>
        </w:rPr>
      </w:pPr>
      <w:r>
        <w:rPr>
          <w:rFonts w:ascii="黑体" w:hAnsi="黑体" w:eastAsia="黑体"/>
          <w:b/>
          <w:sz w:val="28"/>
          <w:lang w:eastAsia="zh-CN"/>
        </w:rPr>
        <w:t>第三条</w:t>
      </w:r>
      <w:r>
        <w:rPr>
          <w:rFonts w:hint="eastAsia" w:ascii="黑体" w:hAnsi="黑体" w:eastAsia="黑体"/>
          <w:b/>
          <w:sz w:val="28"/>
          <w:lang w:eastAsia="zh-CN"/>
        </w:rPr>
        <w:t xml:space="preserve"> </w:t>
      </w:r>
      <w:r>
        <w:rPr>
          <w:rFonts w:ascii="黑体" w:hAnsi="黑体" w:eastAsia="黑体"/>
          <w:b/>
          <w:sz w:val="28"/>
          <w:lang w:eastAsia="zh-CN"/>
        </w:rPr>
        <w:t>合同价款</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本合同为</w:t>
      </w:r>
      <w:r>
        <w:rPr>
          <w:rFonts w:ascii="宋体" w:hAnsi="宋体"/>
          <w:highlight w:val="cyan"/>
          <w:lang w:eastAsia="zh-CN"/>
        </w:rPr>
        <w:t>总价包干</w:t>
      </w:r>
      <w:r>
        <w:rPr>
          <w:rFonts w:hint="eastAsia" w:ascii="宋体" w:hAnsi="宋体" w:cs="宋体"/>
          <w:sz w:val="24"/>
          <w:szCs w:val="24"/>
          <w:lang w:val="zh-CN" w:eastAsia="zh-CN" w:bidi="zh-CN"/>
        </w:rPr>
        <w:t>。</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币种：人民币</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合同暂定价款（大写）：</w:t>
      </w:r>
      <w:r>
        <w:rPr>
          <w:rFonts w:hint="eastAsia" w:ascii="宋体" w:hAnsi="宋体" w:cs="宋体"/>
          <w:sz w:val="24"/>
          <w:szCs w:val="24"/>
          <w:u w:val="single"/>
          <w:lang w:eastAsia="zh-CN" w:bidi="zh-CN"/>
        </w:rPr>
        <w:t xml:space="preserve"> XX </w:t>
      </w:r>
      <w:r>
        <w:rPr>
          <w:rFonts w:hint="eastAsia" w:ascii="宋体" w:hAnsi="宋体" w:cs="宋体"/>
          <w:sz w:val="24"/>
          <w:szCs w:val="24"/>
          <w:lang w:val="zh-CN" w:eastAsia="zh-CN" w:bidi="zh-CN"/>
        </w:rPr>
        <w:t>（小写）：¥</w:t>
      </w:r>
      <w:r>
        <w:rPr>
          <w:rFonts w:hint="eastAsia" w:ascii="宋体" w:hAnsi="宋体" w:cs="宋体"/>
          <w:sz w:val="24"/>
          <w:szCs w:val="24"/>
          <w:u w:val="single"/>
          <w:lang w:eastAsia="zh-CN" w:bidi="zh-CN"/>
        </w:rPr>
        <w:t xml:space="preserve">  XX  </w:t>
      </w:r>
      <w:r>
        <w:rPr>
          <w:rFonts w:hint="eastAsia" w:ascii="宋体" w:hAnsi="宋体" w:cs="宋体"/>
          <w:sz w:val="24"/>
          <w:szCs w:val="24"/>
          <w:u w:val="single"/>
          <w:lang w:val="zh-CN" w:eastAsia="zh-CN" w:bidi="zh-CN"/>
        </w:rPr>
        <w:t>元，</w:t>
      </w:r>
      <w:r>
        <w:rPr>
          <w:rFonts w:hint="eastAsia" w:ascii="宋体" w:hAnsi="宋体" w:cs="宋体"/>
          <w:sz w:val="24"/>
          <w:szCs w:val="24"/>
          <w:lang w:val="zh-CN" w:eastAsia="zh-CN" w:bidi="zh-CN"/>
        </w:rPr>
        <w:t>最终价按照考核结果进行支付。</w:t>
      </w:r>
    </w:p>
    <w:p>
      <w:pPr>
        <w:spacing w:after="0" w:line="360" w:lineRule="auto"/>
        <w:ind w:firstLine="480" w:firstLineChars="200"/>
        <w:jc w:val="center"/>
        <w:rPr>
          <w:rFonts w:ascii="宋体" w:hAnsi="宋体" w:cs="宋体"/>
          <w:sz w:val="24"/>
          <w:szCs w:val="24"/>
          <w:lang w:val="zh-CN" w:eastAsia="zh-CN" w:bidi="zh-CN"/>
        </w:rPr>
      </w:pPr>
      <w:r>
        <w:rPr>
          <w:rFonts w:hint="eastAsia" w:ascii="宋体" w:hAnsi="宋体" w:cs="宋体"/>
          <w:sz w:val="24"/>
          <w:szCs w:val="24"/>
          <w:lang w:val="zh-CN" w:eastAsia="zh-CN" w:bidi="zh-CN"/>
        </w:rPr>
        <w:t>附表：深圳市深汕合作区水库、河道管养劳务外包项目</w:t>
      </w:r>
    </w:p>
    <w:p>
      <w:pPr>
        <w:spacing w:after="0" w:line="360" w:lineRule="auto"/>
        <w:ind w:firstLine="480" w:firstLineChars="200"/>
        <w:jc w:val="center"/>
        <w:rPr>
          <w:rFonts w:ascii="宋体" w:hAnsi="宋体" w:cs="宋体"/>
          <w:sz w:val="24"/>
          <w:szCs w:val="24"/>
          <w:lang w:val="zh-CN" w:eastAsia="zh-CN" w:bidi="zh-CN"/>
        </w:rPr>
      </w:pPr>
      <w:r>
        <w:rPr>
          <w:rFonts w:hint="eastAsia" w:ascii="宋体" w:hAnsi="宋体" w:cs="宋体"/>
          <w:sz w:val="24"/>
          <w:szCs w:val="24"/>
          <w:lang w:val="zh-CN" w:eastAsia="zh-CN" w:bidi="zh-CN"/>
        </w:rPr>
        <w:t>（</w:t>
      </w:r>
      <w:r>
        <w:rPr>
          <w:rFonts w:hint="eastAsia" w:ascii="宋体" w:hAnsi="宋体" w:cs="宋体"/>
          <w:sz w:val="24"/>
          <w:szCs w:val="24"/>
          <w:lang w:eastAsia="zh-CN" w:bidi="zh-CN"/>
        </w:rPr>
        <w:t>2022至2023年度</w:t>
      </w:r>
      <w:r>
        <w:rPr>
          <w:rFonts w:hint="eastAsia" w:ascii="宋体" w:hAnsi="宋体" w:cs="宋体"/>
          <w:sz w:val="24"/>
          <w:szCs w:val="24"/>
          <w:lang w:val="zh-CN" w:eastAsia="zh-CN" w:bidi="zh-CN"/>
        </w:rPr>
        <w:t>）（</w:t>
      </w:r>
      <w:r>
        <w:rPr>
          <w:rFonts w:hint="eastAsia" w:ascii="宋体" w:hAnsi="宋体" w:cs="宋体"/>
          <w:sz w:val="24"/>
          <w:szCs w:val="24"/>
          <w:lang w:eastAsia="zh-CN" w:bidi="zh-CN"/>
        </w:rPr>
        <w:t>五</w:t>
      </w:r>
      <w:r>
        <w:rPr>
          <w:rFonts w:hint="eastAsia" w:ascii="宋体" w:hAnsi="宋体" w:cs="宋体"/>
          <w:sz w:val="24"/>
          <w:szCs w:val="24"/>
          <w:lang w:val="zh-CN" w:eastAsia="zh-CN" w:bidi="zh-CN"/>
        </w:rPr>
        <w:t>标段）</w:t>
      </w:r>
      <w:r>
        <w:rPr>
          <w:rFonts w:hint="eastAsia" w:ascii="宋体" w:hAnsi="宋体" w:cs="宋体"/>
          <w:sz w:val="24"/>
          <w:szCs w:val="24"/>
          <w:lang w:eastAsia="zh-CN" w:bidi="zh-CN"/>
        </w:rPr>
        <w:t>金额</w:t>
      </w:r>
      <w:r>
        <w:rPr>
          <w:rFonts w:hint="eastAsia" w:ascii="宋体" w:hAnsi="宋体" w:cs="宋体"/>
          <w:sz w:val="24"/>
          <w:szCs w:val="24"/>
          <w:lang w:val="zh-CN" w:eastAsia="zh-CN" w:bidi="zh-CN"/>
        </w:rPr>
        <w:t>组成明细</w:t>
      </w:r>
    </w:p>
    <w:tbl>
      <w:tblPr>
        <w:tblStyle w:val="20"/>
        <w:tblW w:w="7520" w:type="dxa"/>
        <w:jc w:val="center"/>
        <w:tblLayout w:type="autofit"/>
        <w:tblCellMar>
          <w:top w:w="0" w:type="dxa"/>
          <w:left w:w="108" w:type="dxa"/>
          <w:bottom w:w="0" w:type="dxa"/>
          <w:right w:w="108" w:type="dxa"/>
        </w:tblCellMar>
      </w:tblPr>
      <w:tblGrid>
        <w:gridCol w:w="2160"/>
        <w:gridCol w:w="1480"/>
        <w:gridCol w:w="1940"/>
        <w:gridCol w:w="1940"/>
      </w:tblGrid>
      <w:tr>
        <w:tblPrEx>
          <w:tblCellMar>
            <w:top w:w="0" w:type="dxa"/>
            <w:left w:w="108" w:type="dxa"/>
            <w:bottom w:w="0" w:type="dxa"/>
            <w:right w:w="108" w:type="dxa"/>
          </w:tblCellMar>
        </w:tblPrEx>
        <w:trPr>
          <w:trHeight w:val="501" w:hRule="atLeast"/>
          <w:jc w:val="center"/>
        </w:trPr>
        <w:tc>
          <w:tcPr>
            <w:tcW w:w="2160" w:type="dxa"/>
            <w:tcBorders>
              <w:top w:val="single" w:color="auto" w:sz="4" w:space="0"/>
              <w:left w:val="single" w:color="auto" w:sz="4" w:space="0"/>
              <w:bottom w:val="single" w:color="auto" w:sz="4" w:space="0"/>
              <w:right w:val="single" w:color="auto" w:sz="4" w:space="0"/>
            </w:tcBorders>
            <w:noWrap/>
            <w:vAlign w:val="center"/>
          </w:tcPr>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标段</w:t>
            </w:r>
          </w:p>
        </w:tc>
        <w:tc>
          <w:tcPr>
            <w:tcW w:w="1480" w:type="dxa"/>
            <w:tcBorders>
              <w:top w:val="single" w:color="auto" w:sz="4" w:space="0"/>
              <w:left w:val="nil"/>
              <w:bottom w:val="single" w:color="auto" w:sz="4" w:space="0"/>
              <w:right w:val="single" w:color="auto" w:sz="4" w:space="0"/>
            </w:tcBorders>
            <w:noWrap/>
            <w:vAlign w:val="center"/>
          </w:tcPr>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类别</w:t>
            </w:r>
          </w:p>
        </w:tc>
        <w:tc>
          <w:tcPr>
            <w:tcW w:w="1940" w:type="dxa"/>
            <w:tcBorders>
              <w:top w:val="single" w:color="auto" w:sz="4" w:space="0"/>
              <w:left w:val="nil"/>
              <w:bottom w:val="single" w:color="auto" w:sz="4" w:space="0"/>
              <w:right w:val="single" w:color="auto" w:sz="4" w:space="0"/>
            </w:tcBorders>
            <w:noWrap/>
            <w:vAlign w:val="center"/>
          </w:tcPr>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名称</w:t>
            </w:r>
          </w:p>
        </w:tc>
        <w:tc>
          <w:tcPr>
            <w:tcW w:w="1940" w:type="dxa"/>
            <w:tcBorders>
              <w:top w:val="single" w:color="auto" w:sz="4" w:space="0"/>
              <w:left w:val="nil"/>
              <w:bottom w:val="single" w:color="auto" w:sz="4" w:space="0"/>
              <w:right w:val="single" w:color="auto" w:sz="4" w:space="0"/>
            </w:tcBorders>
            <w:noWrap/>
            <w:vAlign w:val="center"/>
          </w:tcPr>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金额（元）</w:t>
            </w:r>
          </w:p>
        </w:tc>
      </w:tr>
      <w:tr>
        <w:tblPrEx>
          <w:tblCellMar>
            <w:top w:w="0" w:type="dxa"/>
            <w:left w:w="108" w:type="dxa"/>
            <w:bottom w:w="0" w:type="dxa"/>
            <w:right w:w="108" w:type="dxa"/>
          </w:tblCellMar>
        </w:tblPrEx>
        <w:trPr>
          <w:trHeight w:val="501" w:hRule="atLeast"/>
          <w:jc w:val="center"/>
        </w:trPr>
        <w:tc>
          <w:tcPr>
            <w:tcW w:w="2160" w:type="dxa"/>
            <w:vMerge w:val="restart"/>
            <w:tcBorders>
              <w:top w:val="nil"/>
              <w:left w:val="single" w:color="auto" w:sz="4" w:space="0"/>
              <w:bottom w:val="single" w:color="auto" w:sz="4" w:space="0"/>
              <w:right w:val="single" w:color="auto" w:sz="4" w:space="0"/>
            </w:tcBorders>
            <w:vAlign w:val="center"/>
          </w:tcPr>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五标段</w:t>
            </w:r>
          </w:p>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XX公司</w:t>
            </w:r>
          </w:p>
        </w:tc>
        <w:tc>
          <w:tcPr>
            <w:tcW w:w="1480" w:type="dxa"/>
            <w:vMerge w:val="restart"/>
            <w:tcBorders>
              <w:top w:val="nil"/>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cs="宋体"/>
                <w:color w:val="000000"/>
                <w:lang w:eastAsia="zh-CN"/>
              </w:rPr>
              <w:t>水库</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sz w:val="24"/>
                <w:szCs w:val="24"/>
                <w:shd w:val="solid" w:color="FFFFFF" w:fill="auto"/>
                <w:lang w:eastAsia="zh-CN"/>
              </w:rPr>
              <w:t>新安水库</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left w:val="single" w:color="auto" w:sz="4" w:space="0"/>
              <w:right w:val="single" w:color="auto" w:sz="4" w:space="0"/>
            </w:tcBorders>
            <w:vAlign w:val="center"/>
          </w:tcPr>
          <w:p>
            <w:pPr>
              <w:spacing w:after="0" w:line="240" w:lineRule="auto"/>
              <w:jc w:val="center"/>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sz w:val="24"/>
                <w:szCs w:val="24"/>
                <w:shd w:val="solid" w:color="FFFFFF" w:fill="auto"/>
                <w:lang w:eastAsia="zh-CN"/>
              </w:rPr>
            </w:pPr>
            <w:r>
              <w:rPr>
                <w:rFonts w:hint="eastAsia" w:ascii="宋体" w:hAnsi="宋体"/>
                <w:sz w:val="24"/>
                <w:szCs w:val="24"/>
                <w:shd w:val="solid" w:color="FFFFFF" w:fill="auto"/>
                <w:lang w:eastAsia="zh-CN"/>
              </w:rPr>
              <w:t>黄京铺水库</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left w:val="single" w:color="auto" w:sz="4" w:space="0"/>
              <w:right w:val="single" w:color="auto" w:sz="4" w:space="0"/>
            </w:tcBorders>
            <w:vAlign w:val="center"/>
          </w:tcPr>
          <w:p>
            <w:pPr>
              <w:spacing w:after="0" w:line="240" w:lineRule="auto"/>
              <w:jc w:val="center"/>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sz w:val="24"/>
                <w:szCs w:val="24"/>
                <w:shd w:val="solid" w:color="FFFFFF" w:fill="auto"/>
                <w:lang w:eastAsia="zh-CN"/>
              </w:rPr>
            </w:pPr>
            <w:r>
              <w:rPr>
                <w:rFonts w:hint="eastAsia" w:ascii="宋体" w:hAnsi="宋体"/>
                <w:sz w:val="24"/>
                <w:szCs w:val="24"/>
                <w:shd w:val="solid" w:color="FFFFFF" w:fill="auto"/>
                <w:lang w:eastAsia="zh-CN"/>
              </w:rPr>
              <w:t>赤石长坑水库</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left w:val="single" w:color="auto" w:sz="4" w:space="0"/>
              <w:right w:val="single" w:color="auto" w:sz="4" w:space="0"/>
            </w:tcBorders>
            <w:vAlign w:val="center"/>
          </w:tcPr>
          <w:p>
            <w:pPr>
              <w:spacing w:after="0" w:line="240" w:lineRule="auto"/>
              <w:jc w:val="center"/>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sz w:val="24"/>
                <w:szCs w:val="24"/>
                <w:shd w:val="solid" w:color="FFFFFF" w:fill="auto"/>
                <w:lang w:eastAsia="zh-CN"/>
              </w:rPr>
            </w:pPr>
            <w:r>
              <w:rPr>
                <w:rFonts w:hint="eastAsia" w:ascii="宋体" w:hAnsi="宋体"/>
                <w:sz w:val="24"/>
                <w:szCs w:val="24"/>
                <w:shd w:val="solid" w:color="FFFFFF" w:fill="auto"/>
                <w:lang w:eastAsia="zh-CN"/>
              </w:rPr>
              <w:t>洋坑水库</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342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宋体" w:hAnsi="宋体" w:cs="宋体"/>
                <w:b/>
                <w:bCs/>
                <w:color w:val="000000"/>
                <w:lang w:eastAsia="zh-CN"/>
              </w:rPr>
            </w:pPr>
            <w:r>
              <w:rPr>
                <w:rFonts w:hint="eastAsia" w:ascii="宋体" w:hAnsi="宋体" w:cs="宋体"/>
                <w:b/>
                <w:bCs/>
                <w:color w:val="000000"/>
                <w:lang w:eastAsia="zh-CN"/>
              </w:rPr>
              <w:t>小计</w:t>
            </w:r>
          </w:p>
        </w:tc>
        <w:tc>
          <w:tcPr>
            <w:tcW w:w="1940" w:type="dxa"/>
            <w:tcBorders>
              <w:top w:val="nil"/>
              <w:left w:val="nil"/>
              <w:bottom w:val="single" w:color="auto" w:sz="4" w:space="0"/>
              <w:right w:val="single" w:color="auto" w:sz="4" w:space="0"/>
            </w:tcBorders>
            <w:noWrap/>
            <w:vAlign w:val="center"/>
          </w:tcPr>
          <w:p>
            <w:pPr>
              <w:spacing w:after="0" w:line="360" w:lineRule="auto"/>
              <w:ind w:firstLine="562" w:firstLineChars="200"/>
              <w:rPr>
                <w:rFonts w:ascii="黑体" w:hAnsi="黑体" w:eastAsia="黑体"/>
                <w:b/>
                <w:sz w:val="28"/>
                <w:szCs w:val="24"/>
                <w:lang w:eastAsia="zh-CN"/>
              </w:rPr>
            </w:pPr>
            <w:r>
              <w:rPr>
                <w:rFonts w:hint="eastAsia" w:ascii="黑体" w:hAnsi="黑体" w:eastAsia="黑体"/>
                <w:b/>
                <w:sz w:val="28"/>
                <w:szCs w:val="24"/>
                <w:lang w:eastAsia="zh-CN"/>
              </w:rPr>
              <w:t xml:space="preserve">     </w:t>
            </w: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restart"/>
            <w:tcBorders>
              <w:top w:val="nil"/>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cs="宋体"/>
                <w:color w:val="000000"/>
                <w:lang w:eastAsia="zh-CN"/>
              </w:rPr>
              <w:t>河道</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sz w:val="24"/>
                <w:szCs w:val="24"/>
                <w:shd w:val="solid" w:color="FFFFFF" w:fill="auto"/>
                <w:lang w:eastAsia="zh-CN"/>
              </w:rPr>
              <w:t>赤石河上游</w:t>
            </w:r>
            <w:r>
              <w:rPr>
                <w:rFonts w:hint="eastAsia"/>
                <w:sz w:val="24"/>
                <w:szCs w:val="24"/>
                <w:shd w:val="solid" w:color="FFFFFF" w:fill="auto"/>
                <w:lang w:eastAsia="zh-CN"/>
              </w:rPr>
              <w:t>（赤石河河道-明热河汇入口以上）</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sz w:val="24"/>
                <w:szCs w:val="24"/>
                <w:shd w:val="solid" w:color="FFFFFF" w:fill="auto"/>
                <w:lang w:eastAsia="zh-CN"/>
              </w:rPr>
            </w:pPr>
            <w:r>
              <w:rPr>
                <w:rFonts w:hint="eastAsia" w:ascii="宋体" w:hAnsi="宋体"/>
                <w:sz w:val="24"/>
                <w:szCs w:val="24"/>
                <w:shd w:val="solid" w:color="FFFFFF" w:fill="auto"/>
                <w:lang w:eastAsia="zh-CN"/>
              </w:rPr>
              <w:t>龙眼溪</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sz w:val="24"/>
                <w:szCs w:val="24"/>
                <w:shd w:val="solid" w:color="FFFFFF" w:fill="auto"/>
                <w:lang w:eastAsia="zh-CN"/>
              </w:rPr>
            </w:pPr>
            <w:r>
              <w:rPr>
                <w:rFonts w:hint="eastAsia" w:ascii="宋体" w:hAnsi="宋体"/>
                <w:sz w:val="24"/>
                <w:szCs w:val="24"/>
                <w:shd w:val="solid" w:color="FFFFFF" w:fill="auto"/>
                <w:lang w:eastAsia="zh-CN"/>
              </w:rPr>
              <w:t>围王爷溪</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sz w:val="24"/>
                <w:szCs w:val="24"/>
                <w:shd w:val="solid" w:color="FFFFFF" w:fill="auto"/>
                <w:lang w:eastAsia="zh-CN"/>
              </w:rPr>
              <w:t>长坑水</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sz w:val="24"/>
                <w:szCs w:val="24"/>
                <w:shd w:val="solid" w:color="FFFFFF" w:fill="auto"/>
                <w:lang w:eastAsia="zh-CN"/>
              </w:rPr>
              <w:t>笼山水</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sz w:val="24"/>
                <w:szCs w:val="24"/>
                <w:shd w:val="solid" w:color="FFFFFF" w:fill="auto"/>
                <w:lang w:eastAsia="zh-CN"/>
              </w:rPr>
              <w:t>东坑水</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sz w:val="24"/>
                <w:szCs w:val="24"/>
                <w:shd w:val="solid" w:color="FFFFFF" w:fill="auto"/>
                <w:lang w:eastAsia="zh-CN"/>
              </w:rPr>
              <w:t>大蕉园</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sz w:val="24"/>
                <w:szCs w:val="24"/>
                <w:shd w:val="solid" w:color="FFFFFF" w:fill="auto"/>
                <w:lang w:eastAsia="zh-CN"/>
              </w:rPr>
              <w:t>碗窑洞</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3420" w:type="dxa"/>
            <w:gridSpan w:val="2"/>
            <w:tcBorders>
              <w:top w:val="single" w:color="auto" w:sz="4" w:space="0"/>
              <w:left w:val="nil"/>
              <w:bottom w:val="single" w:color="auto" w:sz="4" w:space="0"/>
              <w:right w:val="single" w:color="auto" w:sz="4" w:space="0"/>
            </w:tcBorders>
            <w:noWrap/>
            <w:vAlign w:val="center"/>
          </w:tcPr>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小计</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b/>
                <w:bCs/>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3420" w:type="dxa"/>
            <w:gridSpan w:val="2"/>
            <w:tcBorders>
              <w:top w:val="single" w:color="auto" w:sz="4" w:space="0"/>
              <w:left w:val="nil"/>
              <w:bottom w:val="single" w:color="auto" w:sz="4" w:space="0"/>
              <w:right w:val="single" w:color="000000" w:sz="4" w:space="0"/>
            </w:tcBorders>
            <w:noWrap/>
            <w:vAlign w:val="center"/>
          </w:tcPr>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合计</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b/>
                <w:bCs/>
                <w:color w:val="000000"/>
                <w:lang w:eastAsia="zh-CN"/>
              </w:rPr>
            </w:pPr>
          </w:p>
        </w:tc>
      </w:tr>
    </w:tbl>
    <w:p>
      <w:pPr>
        <w:spacing w:after="0" w:line="360" w:lineRule="auto"/>
        <w:ind w:firstLine="480" w:firstLineChars="200"/>
        <w:jc w:val="both"/>
        <w:rPr>
          <w:rFonts w:ascii="宋体" w:hAnsi="宋体" w:cs="宋体"/>
          <w:sz w:val="24"/>
          <w:szCs w:val="24"/>
          <w:lang w:val="zh-CN" w:eastAsia="zh-CN" w:bidi="zh-CN"/>
        </w:rPr>
      </w:pPr>
    </w:p>
    <w:p>
      <w:pPr>
        <w:spacing w:after="0" w:line="360" w:lineRule="auto"/>
        <w:ind w:firstLine="562" w:firstLineChars="200"/>
        <w:jc w:val="both"/>
        <w:rPr>
          <w:rFonts w:ascii="黑体" w:hAnsi="黑体" w:eastAsia="黑体"/>
          <w:b/>
          <w:sz w:val="28"/>
          <w:lang w:eastAsia="zh-CN"/>
        </w:rPr>
      </w:pPr>
      <w:r>
        <w:rPr>
          <w:rFonts w:ascii="黑体" w:hAnsi="黑体" w:eastAsia="黑体"/>
          <w:b/>
          <w:sz w:val="28"/>
          <w:lang w:eastAsia="zh-CN"/>
        </w:rPr>
        <w:t>第四条</w:t>
      </w:r>
      <w:r>
        <w:rPr>
          <w:rFonts w:hint="eastAsia" w:ascii="黑体" w:hAnsi="黑体" w:eastAsia="黑体"/>
          <w:b/>
          <w:sz w:val="28"/>
          <w:lang w:eastAsia="zh-CN"/>
        </w:rPr>
        <w:t xml:space="preserve"> </w:t>
      </w:r>
      <w:r>
        <w:rPr>
          <w:rFonts w:ascii="黑体" w:hAnsi="黑体" w:eastAsia="黑体"/>
          <w:b/>
          <w:sz w:val="28"/>
          <w:lang w:eastAsia="zh-CN"/>
        </w:rPr>
        <w:t>付款方式</w:t>
      </w:r>
    </w:p>
    <w:p>
      <w:pPr>
        <w:jc w:val="both"/>
        <w:outlineLvl w:val="1"/>
        <w:rPr>
          <w:rFonts w:ascii="宋体" w:hAnsi="宋体"/>
          <w:b/>
          <w:bCs/>
          <w:sz w:val="24"/>
          <w:szCs w:val="24"/>
          <w:lang w:eastAsia="zh-CN"/>
        </w:rPr>
      </w:pPr>
      <w:r>
        <w:rPr>
          <w:rFonts w:hint="eastAsia" w:ascii="宋体" w:hAnsi="宋体"/>
          <w:b/>
          <w:bCs/>
          <w:sz w:val="24"/>
          <w:szCs w:val="24"/>
          <w:lang w:eastAsia="zh-CN"/>
        </w:rPr>
        <w:t>1、考核</w:t>
      </w:r>
    </w:p>
    <w:p>
      <w:pPr>
        <w:pStyle w:val="2"/>
        <w:spacing w:after="0" w:line="360" w:lineRule="auto"/>
        <w:ind w:left="0" w:firstLine="480" w:firstLineChars="200"/>
        <w:jc w:val="both"/>
        <w:rPr>
          <w:shd w:val="solid" w:color="FFFFFF" w:fill="auto"/>
        </w:rPr>
      </w:pPr>
      <w:r>
        <w:rPr>
          <w:rFonts w:hint="eastAsia"/>
          <w:shd w:val="solid" w:color="FFFFFF" w:fill="auto"/>
        </w:rPr>
        <w:t>由甲方对乙方的运行维护工作质量按季度和年度进行考核，考核结果将作为支付费用的依据。</w:t>
      </w:r>
    </w:p>
    <w:p>
      <w:pPr>
        <w:pStyle w:val="2"/>
        <w:spacing w:after="0" w:line="360" w:lineRule="auto"/>
        <w:ind w:left="0" w:firstLine="480" w:firstLineChars="200"/>
        <w:jc w:val="both"/>
        <w:rPr>
          <w:shd w:val="solid" w:color="FFFFFF" w:fill="auto"/>
        </w:rPr>
      </w:pPr>
      <w:r>
        <w:rPr>
          <w:rFonts w:hint="eastAsia"/>
          <w:shd w:val="solid" w:color="FFFFFF" w:fill="auto"/>
        </w:rPr>
        <w:t>（1）季度考核</w:t>
      </w:r>
    </w:p>
    <w:p>
      <w:pPr>
        <w:pStyle w:val="2"/>
        <w:spacing w:after="0" w:line="360" w:lineRule="auto"/>
        <w:ind w:left="0" w:firstLine="480" w:firstLineChars="200"/>
        <w:jc w:val="both"/>
        <w:rPr>
          <w:shd w:val="solid" w:color="FFFFFF" w:fill="auto"/>
        </w:rPr>
      </w:pPr>
      <w:r>
        <w:rPr>
          <w:rFonts w:hint="eastAsia"/>
          <w:shd w:val="solid" w:color="FFFFFF" w:fill="auto"/>
        </w:rPr>
        <w:t>季度考核按照考核细则实行单项扣分扣款和单项奖分奖款组成，季度工作实施过程中按照考核细则，记录出现需扣分、扣款和奖分、奖款事件，扣分</w:t>
      </w:r>
      <w:r>
        <w:rPr>
          <w:rFonts w:hint="eastAsia"/>
          <w:shd w:val="solid" w:color="FFFFFF" w:fill="auto"/>
          <w:lang w:val="en-US"/>
        </w:rPr>
        <w:t>或</w:t>
      </w:r>
      <w:r>
        <w:rPr>
          <w:rFonts w:hint="eastAsia"/>
          <w:shd w:val="solid" w:color="FFFFFF" w:fill="auto"/>
        </w:rPr>
        <w:t>奖分情况从当季度考核分中扣除</w:t>
      </w:r>
      <w:r>
        <w:rPr>
          <w:rFonts w:hint="eastAsia"/>
          <w:shd w:val="solid" w:color="FFFFFF" w:fill="auto"/>
          <w:lang w:val="en-US"/>
        </w:rPr>
        <w:t>或增加</w:t>
      </w:r>
      <w:r>
        <w:rPr>
          <w:rFonts w:hint="eastAsia"/>
          <w:shd w:val="solid" w:color="FFFFFF" w:fill="auto"/>
        </w:rPr>
        <w:t>，扣款</w:t>
      </w:r>
      <w:r>
        <w:rPr>
          <w:rFonts w:hint="eastAsia"/>
          <w:shd w:val="solid" w:color="FFFFFF" w:fill="auto"/>
          <w:lang w:val="en-US"/>
        </w:rPr>
        <w:t>或</w:t>
      </w:r>
      <w:r>
        <w:rPr>
          <w:rFonts w:hint="eastAsia"/>
          <w:shd w:val="solid" w:color="FFFFFF" w:fill="auto"/>
        </w:rPr>
        <w:t>奖款</w:t>
      </w:r>
      <w:r>
        <w:rPr>
          <w:rFonts w:hint="eastAsia"/>
          <w:shd w:val="solid" w:color="FFFFFF" w:fill="auto"/>
          <w:lang w:val="en-US"/>
        </w:rPr>
        <w:t>计入当季度扣款、奖款事项，在下次支付费用时一并扣除或增加</w:t>
      </w:r>
      <w:r>
        <w:rPr>
          <w:rFonts w:hint="eastAsia"/>
          <w:shd w:val="solid" w:color="FFFFFF" w:fill="auto"/>
        </w:rPr>
        <w:t>。</w:t>
      </w:r>
    </w:p>
    <w:p>
      <w:pPr>
        <w:pStyle w:val="2"/>
        <w:spacing w:after="0" w:line="360" w:lineRule="auto"/>
        <w:ind w:left="0" w:firstLine="480" w:firstLineChars="200"/>
        <w:jc w:val="both"/>
        <w:rPr>
          <w:shd w:val="solid" w:color="FFFFFF" w:fill="auto"/>
        </w:rPr>
      </w:pPr>
      <w:r>
        <w:rPr>
          <w:rFonts w:hint="eastAsia"/>
          <w:shd w:val="solid" w:color="FFFFFF" w:fill="auto"/>
        </w:rPr>
        <w:t>（2）年度考核</w:t>
      </w:r>
    </w:p>
    <w:p>
      <w:pPr>
        <w:pStyle w:val="2"/>
        <w:spacing w:after="0" w:line="360" w:lineRule="auto"/>
        <w:ind w:left="0" w:firstLine="480" w:firstLineChars="200"/>
        <w:jc w:val="both"/>
        <w:rPr>
          <w:shd w:val="solid" w:color="FFFFFF" w:fill="auto"/>
        </w:rPr>
      </w:pPr>
      <w:r>
        <w:rPr>
          <w:rFonts w:hint="eastAsia"/>
          <w:shd w:val="solid" w:color="FFFFFF" w:fill="auto"/>
        </w:rPr>
        <w:t>1）年度考核总分由季度考核分（占40%）和年终考核分（占60%）按比例构成，考核评定结果分优秀、</w:t>
      </w:r>
      <w:r>
        <w:rPr>
          <w:rFonts w:hint="eastAsia"/>
          <w:shd w:val="solid" w:color="FFFFFF" w:fill="auto"/>
          <w:lang w:val="en-US"/>
        </w:rPr>
        <w:t>良好、</w:t>
      </w:r>
      <w:r>
        <w:rPr>
          <w:rFonts w:hint="eastAsia"/>
          <w:shd w:val="solid" w:color="FFFFFF" w:fill="auto"/>
        </w:rPr>
        <w:t>合格和不合格，考核结果作为尾款支付依据，运用方式如下：</w:t>
      </w:r>
    </w:p>
    <w:p>
      <w:pPr>
        <w:pStyle w:val="2"/>
        <w:spacing w:after="0" w:line="360" w:lineRule="auto"/>
        <w:ind w:left="0" w:firstLine="480" w:firstLineChars="200"/>
        <w:jc w:val="both"/>
        <w:rPr>
          <w:shd w:val="solid" w:color="FFFFFF" w:fill="auto"/>
        </w:rPr>
      </w:pPr>
      <w:r>
        <w:rPr>
          <w:rFonts w:hint="eastAsia"/>
          <w:shd w:val="solid" w:color="FFFFFF" w:fill="auto"/>
        </w:rPr>
        <w:t>①考核结果为优秀（100—</w:t>
      </w:r>
      <w:r>
        <w:rPr>
          <w:rFonts w:hint="eastAsia"/>
          <w:shd w:val="solid" w:color="FFFFFF" w:fill="auto"/>
          <w:lang w:val="en-US"/>
        </w:rPr>
        <w:t>90</w:t>
      </w:r>
      <w:r>
        <w:rPr>
          <w:rFonts w:hint="eastAsia"/>
          <w:shd w:val="solid" w:color="FFFFFF" w:fill="auto"/>
        </w:rPr>
        <w:t>分）,支付100%款项；</w:t>
      </w:r>
    </w:p>
    <w:p>
      <w:pPr>
        <w:pStyle w:val="2"/>
        <w:spacing w:after="0" w:line="360" w:lineRule="auto"/>
        <w:ind w:left="0" w:firstLine="480" w:firstLineChars="200"/>
        <w:jc w:val="both"/>
        <w:rPr>
          <w:shd w:val="solid" w:color="FFFFFF" w:fill="auto"/>
        </w:rPr>
      </w:pPr>
      <w:r>
        <w:rPr>
          <w:rFonts w:hint="eastAsia"/>
          <w:shd w:val="solid" w:color="FFFFFF" w:fill="auto"/>
        </w:rPr>
        <w:t>②考核结果为</w:t>
      </w:r>
      <w:r>
        <w:rPr>
          <w:rFonts w:hint="eastAsia"/>
          <w:shd w:val="solid" w:color="FFFFFF" w:fill="auto"/>
          <w:lang w:val="en-US"/>
        </w:rPr>
        <w:t>良好</w:t>
      </w:r>
      <w:r>
        <w:rPr>
          <w:rFonts w:hint="eastAsia"/>
          <w:shd w:val="solid" w:color="FFFFFF" w:fill="auto"/>
        </w:rPr>
        <w:t>（</w:t>
      </w:r>
      <w:r>
        <w:rPr>
          <w:rFonts w:hint="eastAsia"/>
          <w:shd w:val="solid" w:color="FFFFFF" w:fill="auto"/>
          <w:lang w:val="en-US"/>
        </w:rPr>
        <w:t>9</w:t>
      </w:r>
      <w:r>
        <w:rPr>
          <w:shd w:val="solid" w:color="FFFFFF" w:fill="auto"/>
        </w:rPr>
        <w:t>0</w:t>
      </w:r>
      <w:r>
        <w:rPr>
          <w:rFonts w:hint="eastAsia"/>
          <w:shd w:val="solid" w:color="FFFFFF" w:fill="auto"/>
        </w:rPr>
        <w:t>—</w:t>
      </w:r>
      <w:r>
        <w:rPr>
          <w:rFonts w:hint="eastAsia"/>
          <w:shd w:val="solid" w:color="FFFFFF" w:fill="auto"/>
          <w:lang w:val="en-US"/>
        </w:rPr>
        <w:t>8</w:t>
      </w:r>
      <w:r>
        <w:rPr>
          <w:shd w:val="solid" w:color="FFFFFF" w:fill="auto"/>
        </w:rPr>
        <w:t>0</w:t>
      </w:r>
      <w:r>
        <w:rPr>
          <w:rFonts w:hint="eastAsia"/>
          <w:shd w:val="solid" w:color="FFFFFF" w:fill="auto"/>
        </w:rPr>
        <w:t>分，</w:t>
      </w:r>
      <w:r>
        <w:rPr>
          <w:rFonts w:hint="eastAsia"/>
          <w:shd w:val="solid" w:color="FFFFFF" w:fill="auto"/>
          <w:lang w:val="en-US"/>
        </w:rPr>
        <w:t>不包</w:t>
      </w:r>
      <w:r>
        <w:rPr>
          <w:rFonts w:hint="eastAsia"/>
          <w:shd w:val="solid" w:color="FFFFFF" w:fill="auto"/>
        </w:rPr>
        <w:t>含</w:t>
      </w:r>
      <w:r>
        <w:rPr>
          <w:rFonts w:hint="eastAsia"/>
          <w:shd w:val="solid" w:color="FFFFFF" w:fill="auto"/>
          <w:lang w:val="en-US"/>
        </w:rPr>
        <w:t>9</w:t>
      </w:r>
      <w:r>
        <w:rPr>
          <w:shd w:val="solid" w:color="FFFFFF" w:fill="auto"/>
        </w:rPr>
        <w:t>0</w:t>
      </w:r>
      <w:r>
        <w:rPr>
          <w:rFonts w:hint="eastAsia"/>
          <w:shd w:val="solid" w:color="FFFFFF" w:fill="auto"/>
        </w:rPr>
        <w:t>分），支付</w:t>
      </w:r>
      <w:r>
        <w:rPr>
          <w:rFonts w:hint="eastAsia"/>
          <w:shd w:val="solid" w:color="FFFFFF" w:fill="auto"/>
          <w:lang w:val="en-US"/>
        </w:rPr>
        <w:t>95</w:t>
      </w:r>
      <w:r>
        <w:rPr>
          <w:rFonts w:hint="eastAsia"/>
          <w:shd w:val="solid" w:color="FFFFFF" w:fill="auto"/>
        </w:rPr>
        <w:t>%款项；</w:t>
      </w:r>
    </w:p>
    <w:p>
      <w:pPr>
        <w:pStyle w:val="2"/>
        <w:spacing w:after="0" w:line="360" w:lineRule="auto"/>
        <w:ind w:left="0" w:firstLine="480" w:firstLineChars="200"/>
        <w:jc w:val="both"/>
        <w:rPr>
          <w:shd w:val="solid" w:color="FFFFFF" w:fill="auto"/>
          <w:lang w:val="en-US"/>
        </w:rPr>
      </w:pPr>
      <w:r>
        <w:rPr>
          <w:rFonts w:hint="eastAsia"/>
          <w:shd w:val="solid" w:color="FFFFFF" w:fill="auto"/>
        </w:rPr>
        <w:t>③考核结果为合格（</w:t>
      </w:r>
      <w:r>
        <w:rPr>
          <w:rFonts w:hint="eastAsia"/>
          <w:shd w:val="solid" w:color="FFFFFF" w:fill="auto"/>
          <w:lang w:val="en-US"/>
        </w:rPr>
        <w:t>80</w:t>
      </w:r>
      <w:r>
        <w:rPr>
          <w:rFonts w:hint="eastAsia"/>
          <w:shd w:val="solid" w:color="FFFFFF" w:fill="auto"/>
        </w:rPr>
        <w:t>—</w:t>
      </w:r>
      <w:r>
        <w:rPr>
          <w:rFonts w:hint="eastAsia"/>
          <w:shd w:val="solid" w:color="FFFFFF" w:fill="auto"/>
          <w:lang w:val="en-US"/>
        </w:rPr>
        <w:t>60</w:t>
      </w:r>
      <w:r>
        <w:rPr>
          <w:rFonts w:hint="eastAsia"/>
          <w:shd w:val="solid" w:color="FFFFFF" w:fill="auto"/>
        </w:rPr>
        <w:t>分，</w:t>
      </w:r>
      <w:r>
        <w:rPr>
          <w:rFonts w:hint="eastAsia"/>
          <w:shd w:val="solid" w:color="FFFFFF" w:fill="auto"/>
          <w:lang w:val="en-US"/>
        </w:rPr>
        <w:t>不包含80分</w:t>
      </w:r>
      <w:r>
        <w:rPr>
          <w:rFonts w:hint="eastAsia"/>
          <w:shd w:val="solid" w:color="FFFFFF" w:fill="auto"/>
        </w:rPr>
        <w:t>），</w:t>
      </w:r>
      <w:r>
        <w:rPr>
          <w:rFonts w:hint="eastAsia"/>
          <w:shd w:val="solid" w:color="FFFFFF" w:fill="auto"/>
          <w:lang w:val="en-US"/>
        </w:rPr>
        <w:t>支付90%款项；</w:t>
      </w:r>
    </w:p>
    <w:p>
      <w:pPr>
        <w:pStyle w:val="2"/>
        <w:spacing w:after="0" w:line="360" w:lineRule="auto"/>
        <w:ind w:left="0" w:firstLine="480" w:firstLineChars="200"/>
        <w:jc w:val="both"/>
        <w:rPr>
          <w:shd w:val="solid" w:color="FFFFFF" w:fill="auto"/>
        </w:rPr>
      </w:pPr>
      <w:r>
        <w:rPr>
          <w:rFonts w:hint="eastAsia"/>
          <w:shd w:val="solid" w:color="FFFFFF" w:fill="auto"/>
          <w:lang w:val="en-US"/>
        </w:rPr>
        <w:t>④考核结果为不合格（60分以下，不包含60分），</w:t>
      </w:r>
      <w:r>
        <w:rPr>
          <w:rFonts w:hint="eastAsia"/>
          <w:shd w:val="solid" w:color="FFFFFF" w:fill="auto"/>
        </w:rPr>
        <w:t>履约评价为不合格，</w:t>
      </w:r>
      <w:r>
        <w:rPr>
          <w:rFonts w:hint="eastAsia"/>
          <w:shd w:val="solid" w:color="FFFFFF" w:fill="auto"/>
          <w:lang w:val="en-US"/>
        </w:rPr>
        <w:t>按照实际发生的工程量结算并不续签合同</w:t>
      </w:r>
      <w:r>
        <w:rPr>
          <w:rFonts w:hint="eastAsia"/>
          <w:shd w:val="solid" w:color="FFFFFF" w:fill="auto"/>
        </w:rPr>
        <w:t>。</w:t>
      </w:r>
    </w:p>
    <w:p>
      <w:pPr>
        <w:pStyle w:val="2"/>
        <w:spacing w:after="0" w:line="360" w:lineRule="auto"/>
        <w:ind w:left="0" w:firstLine="480" w:firstLineChars="200"/>
        <w:jc w:val="both"/>
        <w:rPr>
          <w:shd w:val="solid" w:color="FFFFFF" w:fill="auto"/>
        </w:rPr>
      </w:pPr>
    </w:p>
    <w:p>
      <w:pPr>
        <w:jc w:val="both"/>
        <w:outlineLvl w:val="1"/>
        <w:rPr>
          <w:rFonts w:ascii="宋体" w:hAnsi="宋体"/>
          <w:b/>
          <w:bCs/>
          <w:sz w:val="24"/>
          <w:szCs w:val="24"/>
          <w:lang w:eastAsia="zh-CN"/>
        </w:rPr>
      </w:pPr>
      <w:r>
        <w:rPr>
          <w:rFonts w:hint="eastAsia" w:ascii="宋体" w:hAnsi="宋体"/>
          <w:b/>
          <w:bCs/>
          <w:sz w:val="24"/>
          <w:szCs w:val="24"/>
          <w:lang w:eastAsia="zh-CN"/>
        </w:rPr>
        <w:t>2、支付</w:t>
      </w:r>
    </w:p>
    <w:p>
      <w:pPr>
        <w:pStyle w:val="2"/>
        <w:spacing w:after="0" w:line="360" w:lineRule="auto"/>
        <w:ind w:left="0" w:firstLine="480" w:firstLineChars="200"/>
        <w:jc w:val="both"/>
        <w:rPr>
          <w:shd w:val="solid" w:color="FFFFFF" w:fill="auto"/>
          <w:lang w:val="en-US"/>
        </w:rPr>
      </w:pPr>
      <w:r>
        <w:rPr>
          <w:rFonts w:hint="eastAsia"/>
          <w:highlight w:val="yellow"/>
          <w:u w:val="none"/>
          <w:lang w:eastAsia="zh-CN"/>
        </w:rPr>
        <w:t>（</w:t>
      </w:r>
      <w:r>
        <w:rPr>
          <w:rFonts w:hint="eastAsia"/>
          <w:highlight w:val="yellow"/>
          <w:u w:val="none"/>
          <w:lang w:val="en-US" w:eastAsia="zh-CN"/>
        </w:rPr>
        <w:t>1</w:t>
      </w:r>
      <w:r>
        <w:rPr>
          <w:rFonts w:hint="eastAsia"/>
          <w:highlight w:val="yellow"/>
          <w:u w:val="none"/>
          <w:lang w:eastAsia="zh-CN"/>
        </w:rPr>
        <w:t>）</w:t>
      </w:r>
      <w:r>
        <w:rPr>
          <w:rFonts w:hint="eastAsia" w:ascii="宋体" w:hAnsi="宋体"/>
          <w:highlight w:val="yellow"/>
          <w:u w:val="none"/>
        </w:rPr>
        <w:t>每个季度考核完成后，经乙方申请，甲方支付上季运营服务费的80%，如上季度考核结果出现扣款项目，则按考核结果扣除对应额度后支付；剩余20%运营费统一待第四季度考核、年度考核完成后按考核结果一并支付。</w:t>
      </w:r>
    </w:p>
    <w:p>
      <w:pPr>
        <w:pStyle w:val="2"/>
        <w:spacing w:after="0" w:line="360" w:lineRule="auto"/>
        <w:ind w:left="0" w:firstLine="480" w:firstLineChars="200"/>
        <w:jc w:val="both"/>
        <w:rPr>
          <w:highlight w:val="yellow"/>
          <w:shd w:val="solid" w:color="FFFFFF" w:fill="auto"/>
        </w:rPr>
      </w:pPr>
      <w:r>
        <w:rPr>
          <w:rFonts w:hint="eastAsia"/>
          <w:highlight w:val="yellow"/>
          <w:shd w:val="solid" w:color="FFFFFF" w:fill="auto"/>
        </w:rPr>
        <w:t>（</w:t>
      </w:r>
      <w:r>
        <w:rPr>
          <w:rFonts w:hint="eastAsia"/>
          <w:highlight w:val="yellow"/>
          <w:shd w:val="solid" w:color="FFFFFF" w:fill="auto"/>
          <w:lang w:val="en-US" w:eastAsia="zh-CN"/>
        </w:rPr>
        <w:t>2</w:t>
      </w:r>
      <w:r>
        <w:rPr>
          <w:rFonts w:hint="eastAsia"/>
          <w:highlight w:val="yellow"/>
          <w:shd w:val="solid" w:color="FFFFFF" w:fill="auto"/>
        </w:rPr>
        <w:t>）季度</w:t>
      </w:r>
      <w:r>
        <w:rPr>
          <w:rFonts w:hint="eastAsia"/>
          <w:highlight w:val="yellow"/>
          <w:shd w:val="solid" w:color="FFFFFF" w:fill="auto"/>
          <w:lang w:val="en-US"/>
        </w:rPr>
        <w:t>考核</w:t>
      </w:r>
      <w:r>
        <w:rPr>
          <w:rFonts w:hint="eastAsia"/>
          <w:highlight w:val="yellow"/>
          <w:shd w:val="solid" w:color="FFFFFF" w:fill="auto"/>
        </w:rPr>
        <w:t>或年度</w:t>
      </w:r>
      <w:r>
        <w:rPr>
          <w:rFonts w:hint="eastAsia"/>
          <w:highlight w:val="yellow"/>
          <w:shd w:val="solid" w:color="FFFFFF" w:fill="auto"/>
          <w:lang w:val="en-US"/>
        </w:rPr>
        <w:t>验收</w:t>
      </w:r>
      <w:r>
        <w:rPr>
          <w:rFonts w:hint="eastAsia"/>
          <w:highlight w:val="yellow"/>
          <w:shd w:val="solid" w:color="FFFFFF" w:fill="auto"/>
        </w:rPr>
        <w:t>完成后，无争议情况下相关费用的核拨最长不应超过</w:t>
      </w:r>
      <w:r>
        <w:rPr>
          <w:rFonts w:hint="eastAsia"/>
          <w:highlight w:val="yellow"/>
          <w:shd w:val="solid" w:color="FFFFFF" w:fill="auto"/>
          <w:lang w:val="en-US"/>
        </w:rPr>
        <w:t>六</w:t>
      </w:r>
      <w:r>
        <w:rPr>
          <w:rFonts w:hint="eastAsia"/>
          <w:highlight w:val="yellow"/>
          <w:shd w:val="solid" w:color="FFFFFF" w:fill="auto"/>
        </w:rPr>
        <w:t>个月，甲方或乙方对于核拨的金额存在争议时应先行核拨无争议的金额并及时就争议金额进行协商。</w:t>
      </w:r>
    </w:p>
    <w:p>
      <w:pPr>
        <w:pStyle w:val="2"/>
        <w:spacing w:after="0" w:line="360" w:lineRule="auto"/>
        <w:ind w:left="0" w:firstLine="480" w:firstLineChars="200"/>
        <w:jc w:val="both"/>
        <w:rPr>
          <w:highlight w:val="yellow"/>
          <w:shd w:val="solid" w:color="FFFFFF" w:fill="auto"/>
        </w:rPr>
      </w:pPr>
      <w:r>
        <w:rPr>
          <w:rFonts w:hint="eastAsia"/>
          <w:highlight w:val="yellow"/>
          <w:shd w:val="solid" w:color="FFFFFF" w:fill="auto"/>
        </w:rPr>
        <w:t>（</w:t>
      </w:r>
      <w:r>
        <w:rPr>
          <w:rFonts w:hint="eastAsia"/>
          <w:highlight w:val="yellow"/>
          <w:shd w:val="solid" w:color="FFFFFF" w:fill="auto"/>
          <w:lang w:val="en-US" w:eastAsia="zh-CN"/>
        </w:rPr>
        <w:t>3</w:t>
      </w:r>
      <w:r>
        <w:rPr>
          <w:rFonts w:hint="eastAsia"/>
          <w:highlight w:val="yellow"/>
          <w:shd w:val="solid" w:color="FFFFFF" w:fill="auto"/>
        </w:rPr>
        <w:t>）因深汕特别合作区对深圳市深汕特别合作区深水水务有限公司管养费用的拨付程序等政策上的因素造成的付款滞后，乙方须予以谅解。</w:t>
      </w:r>
    </w:p>
    <w:p>
      <w:pPr>
        <w:pStyle w:val="2"/>
        <w:spacing w:before="312" w:beforeLines="100" w:after="0" w:line="360" w:lineRule="auto"/>
        <w:ind w:left="0" w:firstLine="562" w:firstLineChars="200"/>
        <w:jc w:val="both"/>
        <w:rPr>
          <w:rFonts w:ascii="黑体" w:hAnsi="黑体" w:eastAsia="黑体"/>
          <w:b/>
          <w:sz w:val="28"/>
        </w:rPr>
      </w:pPr>
      <w:r>
        <w:rPr>
          <w:rFonts w:ascii="黑体" w:hAnsi="黑体" w:eastAsia="黑体"/>
          <w:b/>
          <w:sz w:val="28"/>
        </w:rPr>
        <w:t>第五条 项目管理要求</w:t>
      </w:r>
    </w:p>
    <w:p>
      <w:pPr>
        <w:jc w:val="both"/>
        <w:outlineLvl w:val="1"/>
        <w:rPr>
          <w:rFonts w:ascii="宋体" w:hAnsi="宋体"/>
          <w:b/>
          <w:sz w:val="24"/>
          <w:lang w:eastAsia="zh-CN"/>
        </w:rPr>
      </w:pPr>
      <w:bookmarkStart w:id="0" w:name="_Toc26425837"/>
      <w:r>
        <w:rPr>
          <w:rFonts w:hint="eastAsia" w:ascii="宋体" w:hAnsi="宋体"/>
          <w:b/>
          <w:sz w:val="24"/>
          <w:lang w:eastAsia="zh-CN"/>
        </w:rPr>
        <w:t>1、人员配备要求</w:t>
      </w:r>
      <w:bookmarkEnd w:id="0"/>
    </w:p>
    <w:p>
      <w:pPr>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（1）项目负责人1人，具备水利水电工程专业或给排水专业，中级工程师</w:t>
      </w:r>
      <w:r>
        <w:rPr>
          <w:rFonts w:hint="eastAsia" w:ascii="宋体" w:hAnsi="宋体"/>
          <w:sz w:val="24"/>
          <w:szCs w:val="24"/>
          <w:lang w:val="en-US" w:eastAsia="zh-CN"/>
        </w:rPr>
        <w:t>及</w:t>
      </w:r>
      <w:r>
        <w:rPr>
          <w:rFonts w:hint="eastAsia" w:ascii="宋体" w:hAnsi="宋体"/>
          <w:sz w:val="24"/>
          <w:szCs w:val="24"/>
          <w:lang w:eastAsia="zh-CN"/>
        </w:rPr>
        <w:t>以上</w:t>
      </w:r>
      <w:r>
        <w:rPr>
          <w:rFonts w:hint="eastAsia" w:ascii="宋体" w:hAnsi="宋体"/>
          <w:sz w:val="24"/>
          <w:szCs w:val="24"/>
          <w:lang w:val="en-US" w:eastAsia="zh-CN"/>
        </w:rPr>
        <w:t>或一级建造师</w:t>
      </w:r>
      <w:r>
        <w:rPr>
          <w:rFonts w:hint="eastAsia" w:ascii="宋体" w:hAnsi="宋体"/>
          <w:sz w:val="24"/>
          <w:szCs w:val="24"/>
          <w:lang w:eastAsia="zh-CN"/>
        </w:rPr>
        <w:t>职称，本科或以上学历，具有水库河道管养项目的工作经验。</w:t>
      </w:r>
    </w:p>
    <w:p>
      <w:pPr>
        <w:spacing w:after="0" w:line="360" w:lineRule="auto"/>
        <w:ind w:firstLine="480" w:firstLineChars="200"/>
        <w:jc w:val="both"/>
        <w:rPr>
          <w:rFonts w:ascii="宋体" w:hAnsi="宋体"/>
          <w:sz w:val="24"/>
          <w:szCs w:val="24"/>
          <w:highlight w:val="yellow"/>
          <w:lang w:eastAsia="zh-CN"/>
        </w:rPr>
      </w:pPr>
      <w:r>
        <w:rPr>
          <w:rFonts w:hint="eastAsia" w:ascii="宋体" w:hAnsi="宋体"/>
          <w:sz w:val="24"/>
          <w:szCs w:val="24"/>
          <w:lang w:eastAsia="zh-CN"/>
        </w:rPr>
        <w:t>（2）项目常驻技术人员不少于1人，具备中级工程师（水利水电工程</w:t>
      </w:r>
      <w:r>
        <w:rPr>
          <w:rFonts w:hint="eastAsia" w:ascii="宋体" w:hAnsi="宋体"/>
          <w:sz w:val="24"/>
          <w:szCs w:val="24"/>
          <w:lang w:val="en-US" w:eastAsia="zh-CN"/>
        </w:rPr>
        <w:t>或给排水专业</w:t>
      </w:r>
      <w:r>
        <w:rPr>
          <w:rFonts w:hint="eastAsia" w:ascii="宋体" w:hAnsi="宋体"/>
          <w:sz w:val="24"/>
          <w:szCs w:val="24"/>
          <w:lang w:eastAsia="zh-CN"/>
        </w:rPr>
        <w:t>）</w:t>
      </w:r>
      <w:r>
        <w:rPr>
          <w:rFonts w:hint="eastAsia" w:ascii="宋体" w:hAnsi="宋体"/>
          <w:sz w:val="24"/>
          <w:szCs w:val="24"/>
          <w:lang w:val="en-US" w:eastAsia="zh-CN"/>
        </w:rPr>
        <w:t>或一级建造师</w:t>
      </w:r>
      <w:r>
        <w:rPr>
          <w:rFonts w:hint="eastAsia" w:ascii="宋体" w:hAnsi="宋体"/>
          <w:sz w:val="24"/>
          <w:szCs w:val="24"/>
          <w:lang w:eastAsia="zh-CN"/>
        </w:rPr>
        <w:t>资格，具备本科以上学历。</w:t>
      </w:r>
    </w:p>
    <w:p>
      <w:pPr>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w:t>
      </w:r>
      <w:r>
        <w:rPr>
          <w:rFonts w:ascii="宋体" w:hAnsi="宋体"/>
          <w:sz w:val="24"/>
          <w:szCs w:val="24"/>
          <w:lang w:eastAsia="zh-CN"/>
        </w:rPr>
        <w:t>3</w:t>
      </w:r>
      <w:r>
        <w:rPr>
          <w:rFonts w:hint="eastAsia" w:ascii="宋体" w:hAnsi="宋体"/>
          <w:sz w:val="24"/>
          <w:szCs w:val="24"/>
          <w:lang w:eastAsia="zh-CN"/>
        </w:rPr>
        <w:t>）巡查人员：按相关要求配备，不少于28名；</w:t>
      </w:r>
    </w:p>
    <w:p>
      <w:pPr>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（4）项目专职资料员不少于1名，具备</w:t>
      </w:r>
      <w:r>
        <w:rPr>
          <w:rFonts w:hint="eastAsia" w:ascii="宋体" w:hAnsi="宋体"/>
          <w:sz w:val="24"/>
          <w:szCs w:val="24"/>
          <w:lang w:val="en-US" w:eastAsia="zh-CN"/>
        </w:rPr>
        <w:t>资料员证书或</w:t>
      </w:r>
      <w:r>
        <w:rPr>
          <w:rFonts w:hint="eastAsia" w:ascii="宋体" w:hAnsi="宋体"/>
          <w:sz w:val="24"/>
          <w:szCs w:val="24"/>
          <w:lang w:eastAsia="zh-CN"/>
        </w:rPr>
        <w:t>助理工程师（</w:t>
      </w:r>
      <w:r>
        <w:rPr>
          <w:rFonts w:hint="eastAsia" w:ascii="宋体" w:hAnsi="宋体"/>
          <w:sz w:val="24"/>
          <w:szCs w:val="24"/>
          <w:lang w:val="en-US" w:eastAsia="zh-CN"/>
        </w:rPr>
        <w:t>或以上职称</w:t>
      </w:r>
      <w:r>
        <w:rPr>
          <w:rFonts w:hint="eastAsia" w:ascii="宋体" w:hAnsi="宋体"/>
          <w:sz w:val="24"/>
          <w:szCs w:val="24"/>
          <w:lang w:eastAsia="zh-CN"/>
        </w:rPr>
        <w:t>）</w:t>
      </w:r>
      <w:r>
        <w:rPr>
          <w:rFonts w:hint="eastAsia" w:ascii="宋体" w:hAnsi="宋体"/>
          <w:sz w:val="24"/>
          <w:szCs w:val="24"/>
          <w:lang w:val="en-US" w:eastAsia="zh-CN"/>
        </w:rPr>
        <w:t>或二级建造师</w:t>
      </w:r>
      <w:r>
        <w:rPr>
          <w:rFonts w:hint="eastAsia" w:ascii="宋体" w:hAnsi="宋体"/>
          <w:sz w:val="24"/>
          <w:szCs w:val="24"/>
          <w:lang w:eastAsia="zh-CN"/>
        </w:rPr>
        <w:t>资格（</w:t>
      </w:r>
      <w:r>
        <w:rPr>
          <w:rFonts w:hint="eastAsia" w:ascii="宋体" w:hAnsi="宋体"/>
          <w:sz w:val="24"/>
          <w:szCs w:val="24"/>
          <w:lang w:val="en-US" w:eastAsia="zh-CN"/>
        </w:rPr>
        <w:t>或以上执业资格</w:t>
      </w:r>
      <w:r>
        <w:rPr>
          <w:rFonts w:hint="eastAsia" w:ascii="宋体" w:hAnsi="宋体"/>
          <w:sz w:val="24"/>
          <w:szCs w:val="24"/>
          <w:lang w:eastAsia="zh-CN"/>
        </w:rPr>
        <w:t>），本科（</w:t>
      </w:r>
      <w:r>
        <w:rPr>
          <w:rFonts w:hint="eastAsia" w:ascii="宋体" w:hAnsi="宋体"/>
          <w:sz w:val="24"/>
          <w:szCs w:val="24"/>
          <w:lang w:val="en-US" w:eastAsia="zh-CN"/>
        </w:rPr>
        <w:t>含本科</w:t>
      </w:r>
      <w:r>
        <w:rPr>
          <w:rFonts w:hint="eastAsia" w:ascii="宋体" w:hAnsi="宋体"/>
          <w:sz w:val="24"/>
          <w:szCs w:val="24"/>
          <w:lang w:eastAsia="zh-CN"/>
        </w:rPr>
        <w:t>）以上学历。</w:t>
      </w:r>
    </w:p>
    <w:p>
      <w:pPr>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（5）项目专职安全员不少于1名，具备安全员资格证书</w:t>
      </w:r>
      <w:r>
        <w:rPr>
          <w:rFonts w:hint="eastAsia" w:ascii="宋体" w:hAnsi="宋体"/>
          <w:sz w:val="24"/>
          <w:szCs w:val="24"/>
          <w:lang w:val="en-US" w:eastAsia="zh-CN"/>
        </w:rPr>
        <w:t>或</w:t>
      </w:r>
      <w:r>
        <w:rPr>
          <w:rFonts w:hint="eastAsia" w:ascii="宋体" w:hAnsi="宋体"/>
          <w:sz w:val="24"/>
          <w:szCs w:val="24"/>
          <w:lang w:eastAsia="zh-CN"/>
        </w:rPr>
        <w:t>助理工程师（</w:t>
      </w:r>
      <w:r>
        <w:rPr>
          <w:rFonts w:hint="eastAsia" w:ascii="宋体" w:hAnsi="宋体"/>
          <w:sz w:val="24"/>
          <w:szCs w:val="24"/>
          <w:lang w:val="en-US" w:eastAsia="zh-CN"/>
        </w:rPr>
        <w:t>或以上职称</w:t>
      </w:r>
      <w:r>
        <w:rPr>
          <w:rFonts w:hint="eastAsia" w:ascii="宋体" w:hAnsi="宋体"/>
          <w:sz w:val="24"/>
          <w:szCs w:val="24"/>
          <w:lang w:eastAsia="zh-CN"/>
        </w:rPr>
        <w:t>）</w:t>
      </w:r>
      <w:r>
        <w:rPr>
          <w:rFonts w:hint="eastAsia" w:ascii="宋体" w:hAnsi="宋体"/>
          <w:sz w:val="24"/>
          <w:szCs w:val="24"/>
          <w:lang w:val="en-US" w:eastAsia="zh-CN"/>
        </w:rPr>
        <w:t>或二级建造师</w:t>
      </w:r>
      <w:r>
        <w:rPr>
          <w:rFonts w:hint="eastAsia" w:ascii="宋体" w:hAnsi="宋体"/>
          <w:sz w:val="24"/>
          <w:szCs w:val="24"/>
          <w:lang w:eastAsia="zh-CN"/>
        </w:rPr>
        <w:t>资格（</w:t>
      </w:r>
      <w:r>
        <w:rPr>
          <w:rFonts w:hint="eastAsia" w:ascii="宋体" w:hAnsi="宋体"/>
          <w:sz w:val="24"/>
          <w:szCs w:val="24"/>
          <w:lang w:val="en-US" w:eastAsia="zh-CN"/>
        </w:rPr>
        <w:t>或以上执业资格</w:t>
      </w:r>
      <w:r>
        <w:rPr>
          <w:rFonts w:hint="eastAsia" w:ascii="宋体" w:hAnsi="宋体"/>
          <w:sz w:val="24"/>
          <w:szCs w:val="24"/>
          <w:lang w:eastAsia="zh-CN"/>
        </w:rPr>
        <w:t>），本科（</w:t>
      </w:r>
      <w:r>
        <w:rPr>
          <w:rFonts w:hint="eastAsia" w:ascii="宋体" w:hAnsi="宋体"/>
          <w:sz w:val="24"/>
          <w:szCs w:val="24"/>
          <w:lang w:val="en-US" w:eastAsia="zh-CN"/>
        </w:rPr>
        <w:t>含本科</w:t>
      </w:r>
      <w:r>
        <w:rPr>
          <w:rFonts w:hint="eastAsia" w:ascii="宋体" w:hAnsi="宋体"/>
          <w:sz w:val="24"/>
          <w:szCs w:val="24"/>
          <w:lang w:eastAsia="zh-CN"/>
        </w:rPr>
        <w:t>）以上学历。</w:t>
      </w:r>
    </w:p>
    <w:p>
      <w:pPr>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（6）派驻业主指定地点办公人员1名，具备助理工程师</w:t>
      </w:r>
      <w:r>
        <w:rPr>
          <w:rFonts w:hint="eastAsia" w:ascii="宋体" w:hAnsi="宋体"/>
          <w:sz w:val="24"/>
          <w:szCs w:val="24"/>
          <w:lang w:val="en-US" w:eastAsia="zh-CN"/>
        </w:rPr>
        <w:t>及以上或二级建造师</w:t>
      </w:r>
      <w:r>
        <w:rPr>
          <w:rFonts w:hint="eastAsia" w:ascii="宋体" w:hAnsi="宋体"/>
          <w:sz w:val="24"/>
          <w:szCs w:val="24"/>
          <w:lang w:eastAsia="zh-CN"/>
        </w:rPr>
        <w:t>资格，本科（</w:t>
      </w:r>
      <w:r>
        <w:rPr>
          <w:rFonts w:hint="eastAsia" w:ascii="宋体" w:hAnsi="宋体"/>
          <w:sz w:val="24"/>
          <w:szCs w:val="24"/>
          <w:lang w:val="en-US" w:eastAsia="zh-CN"/>
        </w:rPr>
        <w:t>含本科</w:t>
      </w:r>
      <w:r>
        <w:rPr>
          <w:rFonts w:hint="eastAsia" w:ascii="宋体" w:hAnsi="宋体"/>
          <w:sz w:val="24"/>
          <w:szCs w:val="24"/>
          <w:lang w:eastAsia="zh-CN"/>
        </w:rPr>
        <w:t>）以上学历。</w:t>
      </w:r>
      <w:bookmarkStart w:id="12" w:name="_GoBack"/>
      <w:bookmarkEnd w:id="12"/>
    </w:p>
    <w:p>
      <w:pPr>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（7）其他人员：绿化、保洁、设施维护队伍，人数不少于13人，按需增配，保证现场工作满足技术要求。</w:t>
      </w:r>
    </w:p>
    <w:p>
      <w:pPr>
        <w:pStyle w:val="2"/>
        <w:ind w:firstLine="240" w:firstLineChars="100"/>
      </w:pPr>
      <w:r>
        <w:rPr>
          <w:rFonts w:hint="eastAsia"/>
          <w:highlight w:val="yellow"/>
          <w:lang w:val="en-US"/>
        </w:rPr>
        <w:t>（8）中标人要与参与项目人员签订正式劳动合同。</w:t>
      </w:r>
    </w:p>
    <w:p>
      <w:pPr>
        <w:jc w:val="both"/>
        <w:outlineLvl w:val="1"/>
        <w:rPr>
          <w:rFonts w:ascii="宋体" w:hAnsi="宋体"/>
          <w:b/>
          <w:sz w:val="24"/>
          <w:lang w:eastAsia="zh-CN"/>
        </w:rPr>
      </w:pPr>
      <w:bookmarkStart w:id="1" w:name="_Toc26425838"/>
      <w:r>
        <w:rPr>
          <w:rFonts w:hint="eastAsia" w:ascii="宋体" w:hAnsi="宋体"/>
          <w:b/>
          <w:sz w:val="24"/>
          <w:lang w:eastAsia="zh-CN"/>
        </w:rPr>
        <w:t>2、车辆、船只等设备配备要求</w:t>
      </w:r>
      <w:bookmarkEnd w:id="1"/>
    </w:p>
    <w:p>
      <w:pPr>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w:t>
      </w:r>
      <w:r>
        <w:rPr>
          <w:rFonts w:ascii="宋体" w:hAnsi="宋体"/>
          <w:sz w:val="24"/>
          <w:szCs w:val="24"/>
          <w:lang w:eastAsia="zh-CN"/>
        </w:rPr>
        <w:t>1</w:t>
      </w:r>
      <w:r>
        <w:rPr>
          <w:rFonts w:hint="eastAsia" w:ascii="宋体" w:hAnsi="宋体"/>
          <w:sz w:val="24"/>
          <w:szCs w:val="24"/>
          <w:lang w:eastAsia="zh-CN"/>
        </w:rPr>
        <w:t>）车辆：巡查车辆机动车不少于</w:t>
      </w:r>
      <w:r>
        <w:rPr>
          <w:rFonts w:ascii="宋体" w:hAnsi="宋体"/>
          <w:sz w:val="24"/>
          <w:szCs w:val="24"/>
          <w:lang w:eastAsia="zh-CN"/>
        </w:rPr>
        <w:t>1辆</w:t>
      </w:r>
      <w:r>
        <w:rPr>
          <w:rFonts w:hint="eastAsia" w:ascii="宋体" w:hAnsi="宋体"/>
          <w:sz w:val="24"/>
          <w:szCs w:val="24"/>
          <w:lang w:eastAsia="zh-CN"/>
        </w:rPr>
        <w:t>、摩托车若干、无人机不少于1台；</w:t>
      </w:r>
    </w:p>
    <w:p>
      <w:pPr>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（2）绿化/保洁：割草机不少于15台、割灌机不少于15台、5台汽油发电机组、5台小型发电照明装置、26台多功能工作灯、汽油机水泵不少于5台、抽水泵不少于7台、机动链条锯不少于13台、电焊机不少于3台等；</w:t>
      </w:r>
    </w:p>
    <w:p>
      <w:pPr>
        <w:spacing w:line="360" w:lineRule="auto"/>
        <w:ind w:firstLine="480" w:firstLineChars="200"/>
        <w:rPr>
          <w:rFonts w:ascii="宋体" w:hAnsi="宋体"/>
          <w:sz w:val="24"/>
          <w:szCs w:val="24"/>
          <w:lang w:eastAsia="zh-CN"/>
        </w:rPr>
      </w:pPr>
      <w:r>
        <w:rPr>
          <w:rFonts w:hint="eastAsia" w:ascii="宋体" w:hAnsi="宋体"/>
          <w:sz w:val="24"/>
          <w:szCs w:val="24"/>
          <w:lang w:eastAsia="zh-CN"/>
        </w:rPr>
        <w:t>（3）其他设备</w:t>
      </w:r>
      <w:r>
        <w:rPr>
          <w:rFonts w:hint="eastAsia"/>
          <w:lang w:eastAsia="zh-CN"/>
        </w:rPr>
        <w:t>（含应急救援）</w:t>
      </w:r>
      <w:r>
        <w:rPr>
          <w:rFonts w:hint="eastAsia" w:ascii="宋体" w:hAnsi="宋体"/>
          <w:sz w:val="24"/>
          <w:szCs w:val="24"/>
          <w:lang w:eastAsia="zh-CN"/>
        </w:rPr>
        <w:t>：按需配备。</w:t>
      </w:r>
    </w:p>
    <w:p>
      <w:pPr>
        <w:jc w:val="both"/>
        <w:outlineLvl w:val="1"/>
        <w:rPr>
          <w:rFonts w:ascii="宋体" w:hAnsi="宋体"/>
          <w:b/>
          <w:sz w:val="24"/>
          <w:lang w:eastAsia="zh-CN"/>
        </w:rPr>
      </w:pPr>
      <w:bookmarkStart w:id="2" w:name="_Toc26425839"/>
      <w:r>
        <w:rPr>
          <w:rFonts w:hint="eastAsia" w:ascii="宋体" w:hAnsi="宋体"/>
          <w:b/>
          <w:sz w:val="24"/>
          <w:lang w:eastAsia="zh-CN"/>
        </w:rPr>
        <w:t>3、其他工作要求</w:t>
      </w:r>
      <w:bookmarkEnd w:id="2"/>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（1）协助甲方梳理现状合作区涉水业务存在的问题，建立台账档案，提出合理化建议，协助进行处置，并做好跟踪管理；</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（2）协助甲方做好防汛抗旱、水源工程调度、水源保护、治水提质、水库标准化创建、水务监督管理、山洪防治、水事违法查处、水利设施岁修和水务工程防汛演练等相关工作；</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（3）建立管养项目部，配备技术、安全等专职管理人员；建立健全项目管理各项制度、规程以及应急预案等；</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（4）做好项目管理养护范围内的涉水、防火、环境污染等安全管理工作，包括不限于安全培训、三级安全教育等；</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（5）开展水库、河道水质监测。</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（6）其他甲方要求配合的管理事项。</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w:t>
      </w:r>
      <w:r>
        <w:rPr>
          <w:rFonts w:ascii="宋体" w:hAnsi="宋体" w:cs="宋体"/>
          <w:sz w:val="24"/>
          <w:szCs w:val="24"/>
          <w:shd w:val="solid" w:color="FFFFFF" w:fill="auto"/>
          <w:lang w:val="zh-CN" w:eastAsia="zh-CN" w:bidi="zh-CN"/>
        </w:rPr>
        <w:t>7</w:t>
      </w:r>
      <w:r>
        <w:rPr>
          <w:rFonts w:hint="eastAsia" w:ascii="宋体" w:hAnsi="宋体" w:cs="宋体"/>
          <w:sz w:val="24"/>
          <w:szCs w:val="24"/>
          <w:shd w:val="solid" w:color="FFFFFF" w:fill="auto"/>
          <w:lang w:val="zh-CN" w:eastAsia="zh-CN" w:bidi="zh-CN"/>
        </w:rPr>
        <w:t>）中标人应购买公共责任险、安全生产责任险，为本项目所有人员购买社会保险及意外险等。水库、河道均属开放式，意外事故发生的可能性较高，存在一定的安全隐患。在运营期间出现第三者的人身伤亡和财产损失，依法应由中标人承担经济赔偿责任，中标人应通过投保公共责任保险来避免这方面的风险。</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w:t>
      </w:r>
      <w:r>
        <w:rPr>
          <w:rFonts w:ascii="宋体" w:hAnsi="宋体" w:cs="宋体"/>
          <w:sz w:val="24"/>
          <w:szCs w:val="24"/>
          <w:shd w:val="solid" w:color="FFFFFF" w:fill="auto"/>
          <w:lang w:val="zh-CN" w:eastAsia="zh-CN" w:bidi="zh-CN"/>
        </w:rPr>
        <w:t>8</w:t>
      </w:r>
      <w:r>
        <w:rPr>
          <w:rFonts w:hint="eastAsia" w:ascii="宋体" w:hAnsi="宋体" w:cs="宋体"/>
          <w:sz w:val="24"/>
          <w:szCs w:val="24"/>
          <w:shd w:val="solid" w:color="FFFFFF" w:fill="auto"/>
          <w:lang w:val="zh-CN" w:eastAsia="zh-CN" w:bidi="zh-CN"/>
        </w:rPr>
        <w:t>）中标人对管养范围内的水库、河道相关附属设施设备承担看护及保管责任，属中标人看护及保管责任范围内的水库、河道相关附属设施设备丢失、人为损坏等问题，由中标人负责报警追讨及补齐，且不得影响河道及其附属设施的正常运行，中标人可视情况自行购买相关保险，避免或降低损失。</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w:t>
      </w:r>
      <w:r>
        <w:rPr>
          <w:rFonts w:ascii="宋体" w:hAnsi="宋体" w:cs="宋体"/>
          <w:sz w:val="24"/>
          <w:szCs w:val="24"/>
          <w:shd w:val="solid" w:color="FFFFFF" w:fill="auto"/>
          <w:lang w:val="zh-CN" w:eastAsia="zh-CN" w:bidi="zh-CN"/>
        </w:rPr>
        <w:t>9</w:t>
      </w:r>
      <w:r>
        <w:rPr>
          <w:rFonts w:hint="eastAsia" w:ascii="宋体" w:hAnsi="宋体" w:cs="宋体"/>
          <w:sz w:val="24"/>
          <w:szCs w:val="24"/>
          <w:shd w:val="solid" w:color="FFFFFF" w:fill="auto"/>
          <w:lang w:val="zh-CN" w:eastAsia="zh-CN" w:bidi="zh-CN"/>
        </w:rPr>
        <w:t>）具体的保险类型、保险责任范围、对外责任、赔偿处理、被保险人义务、总则，费率等问题，由中标人和保险公司协商决定，本项目不做具体要求。</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第六条</w:t>
      </w:r>
      <w:r>
        <w:rPr>
          <w:rFonts w:hint="eastAsia" w:ascii="黑体" w:hAnsi="黑体" w:eastAsia="黑体"/>
          <w:b/>
          <w:sz w:val="28"/>
          <w:lang w:eastAsia="zh-CN"/>
        </w:rPr>
        <w:t xml:space="preserve"> </w:t>
      </w:r>
      <w:r>
        <w:rPr>
          <w:rFonts w:ascii="黑体" w:hAnsi="黑体" w:eastAsia="黑体"/>
          <w:b/>
          <w:sz w:val="28"/>
          <w:lang w:eastAsia="zh-CN"/>
        </w:rPr>
        <w:t>项目技术要求</w:t>
      </w:r>
    </w:p>
    <w:p>
      <w:pPr>
        <w:pStyle w:val="52"/>
        <w:spacing w:before="312" w:beforeLines="100" w:line="300" w:lineRule="auto"/>
        <w:ind w:firstLine="602" w:firstLineChars="250"/>
        <w:jc w:val="both"/>
        <w:rPr>
          <w:rFonts w:ascii="宋体" w:hAnsi="宋体"/>
          <w:b/>
          <w:sz w:val="24"/>
          <w:szCs w:val="24"/>
          <w:shd w:val="solid" w:color="FFFFFF" w:fill="auto"/>
          <w:lang w:eastAsia="zh-CN"/>
        </w:rPr>
      </w:pPr>
      <w:r>
        <w:rPr>
          <w:rFonts w:hint="eastAsia" w:ascii="宋体" w:hAnsi="宋体"/>
          <w:b/>
          <w:sz w:val="24"/>
          <w:szCs w:val="24"/>
          <w:shd w:val="solid" w:color="FFFFFF" w:fill="auto"/>
          <w:lang w:eastAsia="zh-CN"/>
        </w:rPr>
        <w:t>1、通用要求：</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（1）乙方应当指定项目管理团队两人互为AB角作为专职工作联络人以助甲方做好管理工作；</w:t>
      </w:r>
    </w:p>
    <w:p>
      <w:pPr>
        <w:pStyle w:val="52"/>
        <w:spacing w:line="360" w:lineRule="auto"/>
        <w:ind w:firstLine="480" w:firstLineChars="200"/>
        <w:jc w:val="both"/>
        <w:rPr>
          <w:rFonts w:ascii="宋体" w:hAnsi="宋体"/>
          <w:sz w:val="24"/>
          <w:szCs w:val="24"/>
          <w:highlight w:val="yellow"/>
          <w:shd w:val="solid" w:color="FFFFFF" w:fill="auto"/>
          <w:lang w:eastAsia="zh-CN"/>
        </w:rPr>
      </w:pPr>
      <w:r>
        <w:rPr>
          <w:rFonts w:hint="eastAsia" w:ascii="宋体" w:hAnsi="宋体"/>
          <w:sz w:val="24"/>
          <w:szCs w:val="24"/>
          <w:highlight w:val="yellow"/>
          <w:shd w:val="solid" w:color="FFFFFF" w:fill="auto"/>
          <w:lang w:eastAsia="zh-CN"/>
        </w:rPr>
        <w:t>（</w:t>
      </w:r>
      <w:r>
        <w:rPr>
          <w:rFonts w:ascii="宋体" w:hAnsi="宋体"/>
          <w:sz w:val="24"/>
          <w:szCs w:val="24"/>
          <w:highlight w:val="yellow"/>
          <w:shd w:val="solid" w:color="FFFFFF" w:fill="auto"/>
          <w:lang w:eastAsia="zh-CN"/>
        </w:rPr>
        <w:t>2）中标后一周内提交管养项目部机构设置和人员名单</w:t>
      </w:r>
      <w:r>
        <w:rPr>
          <w:rFonts w:hint="eastAsia" w:ascii="宋体" w:hAnsi="宋体"/>
          <w:sz w:val="24"/>
          <w:szCs w:val="24"/>
          <w:highlight w:val="yellow"/>
          <w:shd w:val="solid" w:color="FFFFFF" w:fill="auto"/>
          <w:lang w:eastAsia="zh-CN"/>
        </w:rPr>
        <w:t>，与投标时机构设置人员名单一致。</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3）水库及河道管理、巡查人员将各种管养维护记录表、检查表、技术培训记录、周期性安全检查记录、安全培训记录、三级安全交底、往来文件分类等管理资料按周、月进行存档和上报，各类管养档案保存应符合国家、行业和深圳市档案管理相关规定建立；</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（4）河道、水库巡查、管养记录中应记录有当日投入设备、人员、物料等管养消耗量。</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（5）资料的格式应符合甲方要求，上交时间须在甲方限定时间内；</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（6）各项工作控制指标应符合相关规范要求。</w:t>
      </w:r>
    </w:p>
    <w:p>
      <w:pPr>
        <w:pStyle w:val="52"/>
        <w:spacing w:before="312" w:beforeLines="100" w:line="300" w:lineRule="auto"/>
        <w:ind w:firstLine="602" w:firstLineChars="250"/>
        <w:jc w:val="both"/>
        <w:rPr>
          <w:rFonts w:ascii="宋体" w:hAnsi="宋体"/>
          <w:b/>
          <w:sz w:val="24"/>
          <w:szCs w:val="24"/>
          <w:shd w:val="solid" w:color="FFFFFF" w:fill="auto"/>
          <w:lang w:eastAsia="zh-CN"/>
        </w:rPr>
      </w:pPr>
      <w:r>
        <w:rPr>
          <w:rFonts w:hint="eastAsia" w:ascii="宋体" w:hAnsi="宋体"/>
          <w:b/>
          <w:sz w:val="24"/>
          <w:szCs w:val="24"/>
          <w:shd w:val="solid" w:color="FFFFFF" w:fill="auto"/>
          <w:lang w:eastAsia="zh-CN"/>
        </w:rPr>
        <w:t>2、水库管养要求：</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shd w:val="solid" w:color="FFFFFF" w:fill="auto"/>
          <w:lang w:eastAsia="zh-CN"/>
        </w:rPr>
        <w:t>A、</w:t>
      </w:r>
      <w:r>
        <w:rPr>
          <w:rFonts w:hint="eastAsia" w:ascii="宋体" w:hAnsi="宋体"/>
          <w:b/>
          <w:bCs/>
          <w:sz w:val="24"/>
          <w:szCs w:val="24"/>
          <w:shd w:val="solid" w:color="FFFFFF" w:fill="auto"/>
          <w:lang w:eastAsia="zh-CN"/>
        </w:rPr>
        <w:t>巡查服务：</w:t>
      </w:r>
      <w:r>
        <w:rPr>
          <w:rFonts w:hint="eastAsia" w:ascii="宋体" w:hAnsi="宋体"/>
          <w:sz w:val="24"/>
          <w:szCs w:val="24"/>
          <w:lang w:eastAsia="zh-CN"/>
        </w:rPr>
        <w:t>水库安保人员应相对稳定，巡查时应带好必要的辅助工具、照相和录像设备，开展现场检查、勘测和取证等工作。</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（1）每天巡查，恶劣天气响应应急需求24小时值守，发现库区突发死鱼等反映水质异常情况及时上报。</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（2）密切关注天气情况，雨前劝离清退库内无关人员，防止群众下库，雨后负责统计水毁情况。</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（3）水库安保人员在巡查时应认真负责、全面仔细，快速及时地掌握水库设施的整洁和完好状况，做到实事求是，当天做好记录。</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（4）水库安保人员要及时掌握涉及水库管理或保护范围的建设项目实施动态，按审批要求对涉及的建设项目进行监督。</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（5）水库安保人员要定期巡查涉及水库管理或保护范围内的用地情况，及时掌握最新情况，做好巡查记录，发现违法建设和违法用地行为及时制止，并将情况及时上报。</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（6）水库安保人员要及时掌握涉及水库管理或保护范围的水务边坡稳定性情况，做好巡查记录，发现问题及时上报。</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（7）水库安保人员对私自取水、偷排污水、污染水源等违法、违规行为有劝阻的义务，并在第一时间上报，遇到违法事件或突发事件，乙方须立即报告至上一级管理单位和主管部门。</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（8）遇重大活动及节假日，应提供相应的服务（含挂标语、彩旗等），同时应积极主动加强巡查，配合主管部门做好保障工作。</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（9）遇防汛、防台等紧急状况，应加强巡查，配合主管部门做好抢险应急工作，第一时间掌握防汛隐患，做好记录，及时上报。</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lang w:eastAsia="zh-CN"/>
        </w:rPr>
        <w:t>（1</w:t>
      </w:r>
      <w:r>
        <w:rPr>
          <w:rFonts w:ascii="宋体" w:hAnsi="宋体"/>
          <w:sz w:val="24"/>
          <w:szCs w:val="24"/>
          <w:lang w:eastAsia="zh-CN"/>
        </w:rPr>
        <w:t>0</w:t>
      </w:r>
      <w:r>
        <w:rPr>
          <w:rFonts w:hint="eastAsia" w:ascii="宋体" w:hAnsi="宋体"/>
          <w:sz w:val="24"/>
          <w:szCs w:val="24"/>
          <w:lang w:eastAsia="zh-CN"/>
        </w:rPr>
        <w:t>）乙方应配合有关部门做好灾后重建工作，如对受污染的水源地进行清污和消毒处理等</w:t>
      </w:r>
      <w:r>
        <w:rPr>
          <w:rFonts w:hint="eastAsia" w:ascii="宋体" w:hAnsi="宋体"/>
          <w:sz w:val="24"/>
          <w:szCs w:val="24"/>
          <w:shd w:val="solid" w:color="FFFFFF" w:fill="auto"/>
          <w:lang w:eastAsia="zh-CN"/>
        </w:rPr>
        <w:t>。</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（11）水库安保人员巡查过程中发现隐患、白蚁、红火蚁、四害等危及正常管养的情况要及时上报。</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（12）水库安保人员要积极配合，</w:t>
      </w:r>
      <w:r>
        <w:rPr>
          <w:rFonts w:hint="eastAsia"/>
          <w:lang w:eastAsia="zh-CN"/>
        </w:rPr>
        <w:t>完成甲方交代的其他事项如演练、应急清理等工作。</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shd w:val="solid" w:color="FFFFFF" w:fill="auto"/>
          <w:lang w:eastAsia="zh-CN"/>
        </w:rPr>
        <w:t>B、</w:t>
      </w:r>
      <w:r>
        <w:rPr>
          <w:rFonts w:hint="eastAsia" w:ascii="宋体" w:hAnsi="宋体"/>
          <w:b/>
          <w:bCs/>
          <w:sz w:val="24"/>
          <w:szCs w:val="24"/>
          <w:shd w:val="solid" w:color="FFFFFF" w:fill="auto"/>
          <w:lang w:eastAsia="zh-CN"/>
        </w:rPr>
        <w:t>保洁服务</w:t>
      </w:r>
      <w:r>
        <w:rPr>
          <w:rFonts w:hint="eastAsia" w:ascii="宋体" w:hAnsi="宋体"/>
          <w:sz w:val="24"/>
          <w:szCs w:val="24"/>
          <w:shd w:val="solid" w:color="FFFFFF" w:fill="auto"/>
          <w:lang w:eastAsia="zh-CN"/>
        </w:rPr>
        <w:t>：</w:t>
      </w:r>
      <w:r>
        <w:rPr>
          <w:rFonts w:hint="eastAsia" w:ascii="宋体" w:hAnsi="宋体"/>
          <w:sz w:val="24"/>
          <w:szCs w:val="24"/>
          <w:lang w:eastAsia="zh-CN"/>
        </w:rPr>
        <w:t>配合甲方清洁库面，净化水质，保障供水安全，乙方应对水库库面及其周边开展保洁工作。保洁范围为水库管理范围内的水域（水库水面、入库河流上延100米或至拦污栅前）、陆域（水面向岸坡延伸的库岸陆域、大坝路面及大坝迎、背水坡面、办公楼周边、防汛道路等）、绿化区及与其功能相关的附属设施等区域，保洁后应做好相应的保洁记录。</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（1）保洁人员作业时应佩带保洁人员标志，统一着装；出船或岸坡作业时应穿戴救生衣或安全帽等，做好安全防护，按规范和作业程序作业。</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2）配合甲方每周2次保洁，做到水面、库岸、大坝、防汛道路等区域无生活垃圾、枯枝枯草、建筑垃圾、吊挂物和杂草，路面无瓜皮、果壳、水瓶、纸屑、烟蒂等散落物、无工农业废弃物、动物尸体、水浮莲等污物，可采取围、捞、拉等多种方式进行清理。</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 xml:space="preserve">（3）各类垃圾应于打捞当日清运至政府指定的垃圾受纳场地，不过夜、不焚烧、不掩埋。 </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（4）在水库管理范围内，乙方要视实际情况在入库河流汇入口设拦污栅设施以拦截漂浮物，桥角、桥墩边、闸前亦宜采取措施拦阻垃圾及漂浮物，适当向溢洪道等泄水区延伸50米进行保洁作业的。</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（5）为保证入库河流及其设施（水闸、拦污栅等）的运行安全，须对库前垃圾漂浮物等清理，拦漂设施上的污物、水浮莲、水葫芦等漂浮物应及时清除。</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（6）当深圳气象台发布黄色暴雨信号或黄色台风信号及以上信号时，应停止保洁作业，服从水库防汛调度要求。</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（7）汛期雨后或台风后允许下库作业的情况下须一定时间内赶到水库，对所有水面漂浮物及附着在水生植物上的垃圾进行清理并达到相应等级的保洁标准。</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 xml:space="preserve">（8）水域保洁可采用机械作业或者船舶作业，保洁船应设施完好，船体整洁美观，且宜选用电动或气动无油污染、低噪音的环保型船舶，禁止使用柴油机动船，船上污水杂物不得直接排向水库。管养作业时使用的船只必须由专人驾驶，并配备有救生设备；除特殊情况外，大风、大雾时不准航行；严禁超载，严禁在泄水建筑物附近行驶。 </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（9）当发生突发污染事件时乙方应在1小时内调集不少于</w:t>
      </w:r>
      <w:r>
        <w:rPr>
          <w:rFonts w:ascii="宋体" w:hAnsi="宋体"/>
          <w:sz w:val="24"/>
          <w:szCs w:val="24"/>
          <w:lang w:eastAsia="zh-CN"/>
        </w:rPr>
        <w:t>1</w:t>
      </w:r>
      <w:r>
        <w:rPr>
          <w:rFonts w:hint="eastAsia" w:ascii="宋体" w:hAnsi="宋体"/>
          <w:sz w:val="24"/>
          <w:szCs w:val="24"/>
          <w:lang w:eastAsia="zh-CN"/>
        </w:rPr>
        <w:t>0人的应急队伍，对水库进行应急保洁处理。</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（1</w:t>
      </w:r>
      <w:r>
        <w:rPr>
          <w:rFonts w:ascii="宋体" w:hAnsi="宋体"/>
          <w:sz w:val="24"/>
          <w:szCs w:val="24"/>
          <w:lang w:eastAsia="zh-CN"/>
        </w:rPr>
        <w:t>0</w:t>
      </w:r>
      <w:r>
        <w:rPr>
          <w:rFonts w:hint="eastAsia" w:ascii="宋体" w:hAnsi="宋体"/>
          <w:sz w:val="24"/>
          <w:szCs w:val="24"/>
          <w:lang w:eastAsia="zh-CN"/>
        </w:rPr>
        <w:t>）水库管理范围内的建（构）筑物立面应无明显污迹、无乱贴、乱挂和过时破损标语。标识牌、警示牌、指示牌、宣传画廊、废物箱、围墙护栏、围网、平台、码头、栈道等设施应保持完好清洁，无明显污迹、积尘。</w:t>
      </w:r>
    </w:p>
    <w:p>
      <w:pPr>
        <w:pStyle w:val="52"/>
        <w:spacing w:line="360" w:lineRule="auto"/>
        <w:ind w:firstLine="480" w:firstLineChars="200"/>
        <w:jc w:val="both"/>
        <w:rPr>
          <w:rFonts w:ascii="宋体" w:hAnsi="宋体"/>
          <w:sz w:val="24"/>
          <w:szCs w:val="24"/>
          <w:highlight w:val="yellow"/>
          <w:lang w:eastAsia="zh-CN"/>
        </w:rPr>
      </w:pPr>
      <w:r>
        <w:rPr>
          <w:rFonts w:hint="eastAsia" w:ascii="宋体" w:hAnsi="宋体"/>
          <w:sz w:val="24"/>
          <w:szCs w:val="24"/>
          <w:highlight w:val="yellow"/>
          <w:lang w:eastAsia="zh-CN"/>
        </w:rPr>
        <w:t>（11）应急性保洁：当发现大量垃圾影响排洪或美观时，或发生特大暴雨、台风时，应在险情过后及时进行应急性保洁。</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C、</w:t>
      </w:r>
      <w:r>
        <w:rPr>
          <w:rFonts w:hint="eastAsia" w:ascii="宋体" w:hAnsi="宋体"/>
          <w:b/>
          <w:bCs/>
          <w:sz w:val="24"/>
          <w:szCs w:val="24"/>
          <w:shd w:val="solid" w:color="FFFFFF" w:fill="auto"/>
          <w:lang w:eastAsia="zh-CN"/>
        </w:rPr>
        <w:t>绿化管养：</w:t>
      </w:r>
      <w:r>
        <w:rPr>
          <w:rFonts w:hint="eastAsia" w:ascii="宋体" w:hAnsi="宋体"/>
          <w:sz w:val="24"/>
          <w:szCs w:val="24"/>
          <w:shd w:val="solid" w:color="FFFFFF" w:fill="auto"/>
          <w:lang w:eastAsia="zh-CN"/>
        </w:rPr>
        <w:t>定期对水库背水坡草坪、管理区内绿化景观等进行管养维护，包括除草、施肥、浇水、病虫害防治、补植等，保证绿化植物（植被）生长良好，防止水土流失。</w:t>
      </w:r>
      <w:r>
        <w:rPr>
          <w:rFonts w:hint="eastAsia" w:ascii="宋体" w:hAnsi="宋体"/>
          <w:sz w:val="24"/>
          <w:szCs w:val="24"/>
          <w:lang w:eastAsia="zh-CN"/>
        </w:rPr>
        <w:t>管理范围内的草坪修剪每月不少于</w:t>
      </w:r>
      <w:r>
        <w:rPr>
          <w:rFonts w:hint="eastAsia" w:ascii="宋体" w:hAnsi="宋体"/>
          <w:sz w:val="24"/>
          <w:szCs w:val="24"/>
          <w:highlight w:val="yellow"/>
          <w:lang w:eastAsia="zh-CN"/>
        </w:rPr>
        <w:t>1次</w:t>
      </w:r>
      <w:r>
        <w:rPr>
          <w:rFonts w:hint="eastAsia" w:ascii="宋体" w:hAnsi="宋体"/>
          <w:sz w:val="24"/>
          <w:szCs w:val="24"/>
          <w:lang w:eastAsia="zh-CN"/>
        </w:rPr>
        <w:t>，修建草坪时应按照规范正确使用割草机，甲方有特殊要求的情况下根据甲方要求增加修剪次数以保证绿化管养效果。</w:t>
      </w:r>
    </w:p>
    <w:p>
      <w:pPr>
        <w:pStyle w:val="52"/>
        <w:spacing w:line="360" w:lineRule="auto"/>
        <w:ind w:firstLine="480" w:firstLineChars="200"/>
        <w:jc w:val="both"/>
        <w:rPr>
          <w:rFonts w:ascii="宋体" w:hAnsi="宋体"/>
          <w:b/>
          <w:bCs/>
          <w:sz w:val="24"/>
          <w:szCs w:val="24"/>
          <w:shd w:val="solid" w:color="FFFFFF" w:fill="auto"/>
          <w:lang w:eastAsia="zh-CN"/>
        </w:rPr>
      </w:pPr>
      <w:r>
        <w:rPr>
          <w:rFonts w:hint="eastAsia" w:ascii="宋体" w:hAnsi="宋体"/>
          <w:sz w:val="24"/>
          <w:szCs w:val="24"/>
          <w:shd w:val="solid" w:color="FFFFFF" w:fill="auto"/>
          <w:lang w:eastAsia="zh-CN"/>
        </w:rPr>
        <w:t>D、</w:t>
      </w:r>
      <w:r>
        <w:rPr>
          <w:rFonts w:hint="eastAsia" w:ascii="宋体" w:hAnsi="宋体"/>
          <w:b/>
          <w:bCs/>
          <w:sz w:val="24"/>
          <w:szCs w:val="24"/>
          <w:shd w:val="solid" w:color="FFFFFF" w:fill="auto"/>
          <w:lang w:eastAsia="zh-CN"/>
        </w:rPr>
        <w:t>附属设施基础维护：</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（1）对机电设备维修养护工作内容主要包括刷油漆、加润滑油及检查启闭状况。</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（2）各种电力线路、电缆线路、照明线路等输电线路的维修养护要防止发生漏电、短路、虚连等现象，线路接头连接要良好，注意防止铜铝接头锈蚀，经常清除架空线路上的树障，保持线路畅通。</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（3）对操作设备及配电设备进行日常维护。</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（4）指示仪表及避雷器等均按供电部门有关规定定期校验，建筑物的防雷设施维护保证安全运用。</w:t>
      </w:r>
    </w:p>
    <w:p>
      <w:pPr>
        <w:pStyle w:val="52"/>
        <w:spacing w:line="360" w:lineRule="auto"/>
        <w:ind w:firstLine="482" w:firstLineChars="200"/>
        <w:jc w:val="both"/>
        <w:rPr>
          <w:rFonts w:ascii="宋体" w:hAnsi="宋体"/>
          <w:b/>
          <w:bCs/>
          <w:sz w:val="24"/>
          <w:szCs w:val="24"/>
          <w:shd w:val="solid" w:color="FFFFFF" w:fill="auto"/>
          <w:lang w:eastAsia="zh-CN"/>
        </w:rPr>
      </w:pPr>
      <w:r>
        <w:rPr>
          <w:rFonts w:hint="eastAsia" w:ascii="宋体" w:hAnsi="宋体"/>
          <w:b/>
          <w:bCs/>
          <w:sz w:val="24"/>
          <w:szCs w:val="24"/>
          <w:shd w:val="solid" w:color="FFFFFF" w:fill="auto"/>
          <w:lang w:eastAsia="zh-CN"/>
        </w:rPr>
        <w:t>E、水质监测、大坝安全监测：</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（1）配合甲方采集水样，并按照要求监管水质，出现水质问题，立即上报。</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（2）配合甲方做好大坝安全监测相关工作。</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F、</w:t>
      </w:r>
      <w:r>
        <w:rPr>
          <w:rFonts w:hint="eastAsia" w:ascii="宋体" w:hAnsi="宋体"/>
          <w:b/>
          <w:bCs/>
          <w:sz w:val="24"/>
          <w:szCs w:val="24"/>
          <w:shd w:val="solid" w:color="FFFFFF" w:fill="auto"/>
          <w:lang w:eastAsia="zh-CN"/>
        </w:rPr>
        <w:t>其他内容：</w:t>
      </w:r>
      <w:r>
        <w:rPr>
          <w:rFonts w:hint="eastAsia" w:ascii="宋体" w:hAnsi="宋体"/>
          <w:sz w:val="24"/>
          <w:szCs w:val="24"/>
          <w:shd w:val="solid" w:color="FFFFFF" w:fill="auto"/>
          <w:lang w:eastAsia="zh-CN"/>
        </w:rPr>
        <w:t>由于深汕特别合作区内水库长期无专业化管理，同时现场目前仍然存在配套设施不全、机电设备老旧等问题，在项目管养期间对机电设备进行定期检查和启闭，避免长期未使用无法启闭运行；对现状损坏的栏杆、标志牌进行修复；对溢洪道、坝体零星损坏部分进行修复更换等。故本项目管养维护期间发生的2万元以下小型维修工程，由乙方直接实施，费用直接在管养费用中列支，如规定期限内未进行修复，由甲方组织进行修复，费用从合同款项中扣除；当维修工程超过2万元（含2万元），可向甲方申请应急维修资金。</w:t>
      </w:r>
    </w:p>
    <w:p>
      <w:pPr>
        <w:pStyle w:val="52"/>
        <w:spacing w:before="312" w:beforeLines="100" w:line="300" w:lineRule="auto"/>
        <w:ind w:firstLine="482" w:firstLineChars="200"/>
        <w:jc w:val="both"/>
        <w:rPr>
          <w:rFonts w:ascii="宋体" w:hAnsi="宋体"/>
          <w:b/>
          <w:sz w:val="24"/>
          <w:szCs w:val="24"/>
          <w:shd w:val="solid" w:color="FFFFFF" w:fill="auto"/>
          <w:lang w:eastAsia="zh-CN"/>
        </w:rPr>
      </w:pPr>
      <w:r>
        <w:rPr>
          <w:rFonts w:hint="eastAsia" w:ascii="宋体" w:hAnsi="宋体"/>
          <w:b/>
          <w:sz w:val="24"/>
          <w:szCs w:val="24"/>
          <w:shd w:val="solid" w:color="FFFFFF" w:fill="auto"/>
          <w:lang w:eastAsia="zh-CN"/>
        </w:rPr>
        <w:t>3、河道管养要求：</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A、</w:t>
      </w:r>
      <w:r>
        <w:rPr>
          <w:rFonts w:hint="eastAsia" w:ascii="宋体" w:hAnsi="宋体"/>
          <w:b/>
          <w:bCs/>
          <w:sz w:val="24"/>
          <w:szCs w:val="24"/>
          <w:shd w:val="solid" w:color="FFFFFF" w:fill="auto"/>
          <w:lang w:eastAsia="zh-CN"/>
        </w:rPr>
        <w:t>巡查服务：</w:t>
      </w:r>
      <w:r>
        <w:rPr>
          <w:rFonts w:hint="eastAsia" w:ascii="宋体" w:hAnsi="宋体"/>
          <w:sz w:val="24"/>
          <w:szCs w:val="24"/>
          <w:shd w:val="solid" w:color="FFFFFF" w:fill="auto"/>
          <w:lang w:eastAsia="zh-CN"/>
        </w:rPr>
        <w:t>根据深汕特别合作区河道现状、两岸居民特点、合作区人口及现状基础设施情况等，至少保证城镇河段每2公里配备1名专业管护人员、山野河段每4公里配备1名专业管护人员，每日至少巡查1次，人员难以到达处，无人机巡查不低于1次/周。</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1）每天巡查，发现安全隐患及时报告甲方；发现一般违法违规现象，应及时进行制止，口头警告或劝离对方，如制止无效则应立即报告甲方；发现较大、严重或重大水事违法违规事件、突发事件时，应立即电话报告甲方，进行制止及拍照取证，填写相应登记表格及时上报。</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（2）巡查人员在巡查时应认真负责、全面仔细，快速及时掌握河道整体状况，做到实事求是，并当天做好巡查记录。</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3</w:t>
      </w:r>
      <w:r>
        <w:rPr>
          <w:rFonts w:hint="eastAsia" w:ascii="宋体" w:hAnsi="宋体"/>
          <w:sz w:val="24"/>
          <w:szCs w:val="24"/>
          <w:shd w:val="solid" w:color="FFFFFF" w:fill="auto"/>
          <w:lang w:eastAsia="zh-CN"/>
        </w:rPr>
        <w:t>）密切关注天气情况，雨前劝离河道内全部行人，雨中驻守各下河道路路口，设置警示线或警戒墩，防止行人下河，雨后负责统计水毁情况。</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4</w:t>
      </w:r>
      <w:r>
        <w:rPr>
          <w:rFonts w:hint="eastAsia" w:ascii="宋体" w:hAnsi="宋体"/>
          <w:sz w:val="24"/>
          <w:szCs w:val="24"/>
          <w:shd w:val="solid" w:color="FFFFFF" w:fill="auto"/>
          <w:lang w:eastAsia="zh-CN"/>
        </w:rPr>
        <w:t>）巡查人员要及时掌握涉河建设项目实施动态，按审批要求对涉河建设项目进行监管。</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5</w:t>
      </w:r>
      <w:r>
        <w:rPr>
          <w:rFonts w:hint="eastAsia" w:ascii="宋体" w:hAnsi="宋体"/>
          <w:sz w:val="24"/>
          <w:szCs w:val="24"/>
          <w:shd w:val="solid" w:color="FFFFFF" w:fill="auto"/>
          <w:lang w:eastAsia="zh-CN"/>
        </w:rPr>
        <w:t>）遇重大活动及节假日，应提供相应的服务（含挂标语、彩旗等），同时应积极主动加强巡查，配合甲方做好保障工作。</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（6）</w:t>
      </w:r>
      <w:r>
        <w:rPr>
          <w:rFonts w:hint="eastAsia" w:ascii="宋体" w:hAnsi="宋体"/>
          <w:sz w:val="24"/>
          <w:szCs w:val="24"/>
          <w:shd w:val="solid" w:color="FFFFFF" w:fill="auto"/>
          <w:lang w:eastAsia="zh-CN"/>
        </w:rPr>
        <w:t>巡查</w:t>
      </w:r>
      <w:r>
        <w:rPr>
          <w:rFonts w:hint="eastAsia" w:ascii="宋体" w:hAnsi="宋体"/>
          <w:sz w:val="24"/>
          <w:szCs w:val="24"/>
          <w:lang w:eastAsia="zh-CN"/>
        </w:rPr>
        <w:t>人员巡查过程中发现隐患、白蚁、红火蚁、四害等危及正常管养的情况要及时上报。</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lang w:eastAsia="zh-CN"/>
        </w:rPr>
        <w:t>（7）</w:t>
      </w:r>
      <w:r>
        <w:rPr>
          <w:rFonts w:hint="eastAsia" w:ascii="宋体" w:hAnsi="宋体"/>
          <w:sz w:val="24"/>
          <w:szCs w:val="24"/>
          <w:shd w:val="solid" w:color="FFFFFF" w:fill="auto"/>
          <w:lang w:eastAsia="zh-CN"/>
        </w:rPr>
        <w:t>巡查</w:t>
      </w:r>
      <w:r>
        <w:rPr>
          <w:rFonts w:hint="eastAsia" w:ascii="宋体" w:hAnsi="宋体"/>
          <w:sz w:val="24"/>
          <w:szCs w:val="24"/>
          <w:lang w:eastAsia="zh-CN"/>
        </w:rPr>
        <w:t>人员要积极配合，</w:t>
      </w:r>
      <w:r>
        <w:rPr>
          <w:rFonts w:hint="eastAsia"/>
          <w:lang w:eastAsia="zh-CN"/>
        </w:rPr>
        <w:t>完成甲方交代的其他事项如演练、应急清理等工作。</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（8）遇洪水、台风等紧急状况，应加强巡查，配合甲方做好抢险应急工作，第一时间掌握防洪隐患，做好记录，及时上报。</w:t>
      </w:r>
    </w:p>
    <w:p>
      <w:pPr>
        <w:ind w:firstLine="480" w:firstLineChars="200"/>
        <w:rPr>
          <w:rFonts w:ascii="宋体" w:hAnsi="宋体"/>
          <w:sz w:val="24"/>
          <w:szCs w:val="24"/>
          <w:highlight w:val="yellow"/>
          <w:shd w:val="solid" w:color="FFFFFF" w:fill="auto"/>
          <w:lang w:eastAsia="zh-CN"/>
        </w:rPr>
      </w:pPr>
      <w:r>
        <w:rPr>
          <w:rFonts w:hint="eastAsia" w:ascii="宋体" w:hAnsi="宋体"/>
          <w:sz w:val="24"/>
          <w:szCs w:val="24"/>
          <w:highlight w:val="yellow"/>
          <w:shd w:val="solid" w:color="FFFFFF" w:fill="auto"/>
          <w:lang w:eastAsia="zh-CN"/>
        </w:rPr>
        <w:t>（9）应急巡查：在节假日或发生洪水、暴雨、台风、高（大）潮、重大投诉、事故等情况时，应加大巡查频次。遇红色及以上暴雨、橙色及以上台风等恶劣天气时，应停止巡查人员分散式巡查，由巡查车辆集中对重点河段进行巡查。暴雨、台风预警信号取消后2小时内进行首次应急巡查，24小时内巡查次数不少于3次，48小时内不少于5次。</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B、</w:t>
      </w:r>
      <w:r>
        <w:rPr>
          <w:rFonts w:hint="eastAsia" w:ascii="宋体" w:hAnsi="宋体"/>
          <w:b/>
          <w:bCs/>
          <w:sz w:val="24"/>
          <w:szCs w:val="24"/>
          <w:shd w:val="solid" w:color="FFFFFF" w:fill="auto"/>
          <w:lang w:eastAsia="zh-CN"/>
        </w:rPr>
        <w:t>保洁服务：</w:t>
      </w:r>
      <w:r>
        <w:rPr>
          <w:rFonts w:hint="eastAsia" w:ascii="宋体" w:hAnsi="宋体"/>
          <w:sz w:val="24"/>
          <w:szCs w:val="24"/>
          <w:shd w:val="solid" w:color="FFFFFF" w:fill="auto"/>
          <w:lang w:eastAsia="zh-CN"/>
        </w:rPr>
        <w:t>城镇河段水/陆域保洁频率为5天一次，山野河段进行定期巡查，保洁工作根据现场实际情况开展。水域保洁除日常清漂外，每年至少开展两次全流域专项清漂行动，确保水面无成片漂浮物。保洁作为河道管养中的一项重要子项，其主要任务是负责河道管理范围内的清洁工作，包括河面、挡墙、堤坡、护栏、巡河道等位置。在特殊情况下应根据甲方要求，提高保洁频次。</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（1）河道水域每1000m水面漂浮物（包括水生植物、垃圾）应控制在一定范围内，超过则须限时清理。</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2）河道上视实际情况在支流汇入口设拦污栅以拦截漂浮物，桥角、桥墩边、闸前亦宜采取措施拦阻漂浮物；拦阻的漂浮物应及时打捞，做到日产日清并运至垃圾场或其它指定场所进行处理；拦漂设施上的漂浮物应及时清除。</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（3）汛期河道重点河段清理须在河道所属流域雨停并允许下河作业后一定时间内达到相应等级的保洁标准。</w:t>
      </w:r>
    </w:p>
    <w:p>
      <w:pPr>
        <w:pStyle w:val="52"/>
        <w:spacing w:before="312" w:beforeLines="100"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4）当发布黄色及黄色以上暴雨、台风信号时，停止河道保洁作业，汛期的保洁应服从河道防汛调度要求。应服从汛期相关规定和防汛调度要求，密切关注天气信息，保洁人员做好防洪、防风抢险准备工作。当深圳气象台发布台风、暴雨黄色及以上信号时，停止河道保洁作业，保洁作业人员转为巡查人员。</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（5）根据合作区具体情况，河道陆域范围应无废弃物（垃圾）、吊挂物和杂草。</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（6）河道重点河段无瓜皮、果壳、纸屑、烟蒂等散落物。</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（7）河道管理范围内的建（构）筑物立面应无明显污迹、无乱贴、乱挂和过时破损标语。广告牌、指示牌、废物箱、围栏、平台、栈道等设施应保持完好清洁，无明显污迹、积尘。</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（8）防汛通道路面废弃物控制指标应符合相关规定。</w:t>
      </w:r>
    </w:p>
    <w:p>
      <w:pPr>
        <w:pStyle w:val="52"/>
        <w:spacing w:line="360" w:lineRule="auto"/>
        <w:ind w:firstLine="480" w:firstLineChars="200"/>
        <w:jc w:val="both"/>
        <w:rPr>
          <w:rFonts w:ascii="宋体" w:hAnsi="宋体"/>
          <w:sz w:val="24"/>
          <w:szCs w:val="24"/>
          <w:highlight w:val="yellow"/>
          <w:shd w:val="solid" w:color="FFFFFF" w:fill="auto"/>
          <w:lang w:eastAsia="zh-CN"/>
        </w:rPr>
      </w:pPr>
      <w:r>
        <w:rPr>
          <w:rFonts w:hint="eastAsia" w:ascii="宋体" w:hAnsi="宋体"/>
          <w:sz w:val="24"/>
          <w:szCs w:val="24"/>
          <w:highlight w:val="yellow"/>
          <w:shd w:val="solid" w:color="FFFFFF" w:fill="auto"/>
          <w:lang w:eastAsia="zh-CN"/>
        </w:rPr>
        <w:t>（9）应急性保洁：当发现河道大量垃圾影响排洪或美观时，或发生特大洪水、暴雨、台风、高（大）潮、倾倒垃圾渣土事件后，应在2小时内及时进行应急性保洁。</w:t>
      </w:r>
    </w:p>
    <w:p>
      <w:pPr>
        <w:pStyle w:val="52"/>
        <w:spacing w:line="360" w:lineRule="auto"/>
        <w:ind w:firstLine="480" w:firstLineChars="200"/>
        <w:jc w:val="both"/>
        <w:rPr>
          <w:rFonts w:ascii="宋体" w:hAnsi="宋体"/>
          <w:b/>
          <w:bCs/>
          <w:sz w:val="24"/>
          <w:szCs w:val="24"/>
          <w:shd w:val="solid" w:color="FFFFFF" w:fill="auto"/>
          <w:lang w:eastAsia="zh-CN"/>
        </w:rPr>
      </w:pPr>
      <w:r>
        <w:rPr>
          <w:rFonts w:hint="eastAsia" w:ascii="宋体" w:hAnsi="宋体"/>
          <w:sz w:val="24"/>
          <w:szCs w:val="24"/>
          <w:shd w:val="solid" w:color="FFFFFF" w:fill="auto"/>
          <w:lang w:eastAsia="zh-CN"/>
        </w:rPr>
        <w:t>C、</w:t>
      </w:r>
      <w:r>
        <w:rPr>
          <w:rFonts w:hint="eastAsia" w:ascii="宋体" w:hAnsi="宋体"/>
          <w:b/>
          <w:bCs/>
          <w:sz w:val="24"/>
          <w:szCs w:val="24"/>
          <w:shd w:val="solid" w:color="FFFFFF" w:fill="auto"/>
          <w:lang w:eastAsia="zh-CN"/>
        </w:rPr>
        <w:t>堤防及附属设施基础养护：</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1</w:t>
      </w:r>
      <w:r>
        <w:rPr>
          <w:rFonts w:hint="eastAsia" w:ascii="宋体" w:hAnsi="宋体"/>
          <w:sz w:val="24"/>
          <w:szCs w:val="24"/>
          <w:shd w:val="solid" w:color="FFFFFF" w:fill="auto"/>
          <w:lang w:eastAsia="zh-CN"/>
        </w:rPr>
        <w:t>）土堤出现雨淋沟、浪窝、塌陷或墙后填土区发生下陷时，应随时按原设计标准填补夯实。对土堤、土坡的草皮护坡，局部缺损应及时修复。</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2</w:t>
      </w:r>
      <w:r>
        <w:rPr>
          <w:rFonts w:hint="eastAsia" w:ascii="宋体" w:hAnsi="宋体"/>
          <w:sz w:val="24"/>
          <w:szCs w:val="24"/>
          <w:shd w:val="solid" w:color="FFFFFF" w:fill="auto"/>
          <w:lang w:eastAsia="zh-CN"/>
        </w:rPr>
        <w:t>）土堤出现表层裂缝时，应根据裂缝特征及时修复。</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3</w:t>
      </w:r>
      <w:r>
        <w:rPr>
          <w:rFonts w:hint="eastAsia" w:ascii="宋体" w:hAnsi="宋体"/>
          <w:sz w:val="24"/>
          <w:szCs w:val="24"/>
          <w:shd w:val="solid" w:color="FFFFFF" w:fill="auto"/>
          <w:lang w:eastAsia="zh-CN"/>
        </w:rPr>
        <w:t>）砌石混凝土护岸养护应保持坡面平顺、砌块完好、砌缝紧密，无松动、塌陷、脱落、架空等现象，无杂草、杂物，保持坡面整洁完好。</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4</w:t>
      </w:r>
      <w:r>
        <w:rPr>
          <w:rFonts w:hint="eastAsia" w:ascii="宋体" w:hAnsi="宋体"/>
          <w:sz w:val="24"/>
          <w:szCs w:val="24"/>
          <w:shd w:val="solid" w:color="FFFFFF" w:fill="auto"/>
          <w:lang w:eastAsia="zh-CN"/>
        </w:rPr>
        <w:t>）干砌石护岸养护应符合下列规定：填补、整修变形或损坏的块石；更换风化或损毁的块石，并嵌砌紧密；护坡局部塌陷或垫层被淘刷，应先翻出块石，恢复土体和垫层，再将块石嵌砌紧密。</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5</w:t>
      </w:r>
      <w:r>
        <w:rPr>
          <w:rFonts w:hint="eastAsia" w:ascii="宋体" w:hAnsi="宋体"/>
          <w:sz w:val="24"/>
          <w:szCs w:val="24"/>
          <w:shd w:val="solid" w:color="FFFFFF" w:fill="auto"/>
          <w:lang w:eastAsia="zh-CN"/>
        </w:rPr>
        <w:t>）混凝土或浆砌石护岸养护应符合下列规定：定期清理护坡表面杂物；变形缝内填料流失应及时填补，填补前将缝内杂物清除干净；浆砌石的灰缝脱落应及时修补，修补时将缝口剔清刷净，修补后洒水养护；护岸局部发生侵蚀剥落或破碎，应采用水泥砂浆进行抹补、喷浆处理；破碎面较大且有垫层淘刷、砌体架空现象的，应填塞石料进行临时性处理，岁修时彻底整修；排水孔堵塞，应及时疏通；护岸局部出现裂缝，应加强观测，判别裂缝成因并进行处理。</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6</w:t>
      </w:r>
      <w:r>
        <w:rPr>
          <w:rFonts w:hint="eastAsia" w:ascii="宋体" w:hAnsi="宋体"/>
          <w:sz w:val="24"/>
          <w:szCs w:val="24"/>
          <w:shd w:val="solid" w:color="FFFFFF" w:fill="auto"/>
          <w:lang w:eastAsia="zh-CN"/>
        </w:rPr>
        <w:t>）混凝土网格护岸的养护应符合下列规定：混凝土网格破损，应采用水泥砂浆抹补，并填平混凝土网格与土基接合部；应及时对网格内护坡草皮进行补植、清除杂草，适时浇水；草皮覆盖率应达到95%以上。</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7</w:t>
      </w:r>
      <w:r>
        <w:rPr>
          <w:rFonts w:hint="eastAsia" w:ascii="宋体" w:hAnsi="宋体"/>
          <w:sz w:val="24"/>
          <w:szCs w:val="24"/>
          <w:shd w:val="solid" w:color="FFFFFF" w:fill="auto"/>
          <w:lang w:eastAsia="zh-CN"/>
        </w:rPr>
        <w:t>）模袋混凝土、水泥土、异性块体护岸等应根据其材料性质，按有关规定进行养护。</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（8）对河长公示牌应定期检查及维护，发现有损坏、污损、变形、变色、老化、字体不清、外物遮蔽及覆盖等问题应及时完成维修、清理或更换。</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D、</w:t>
      </w:r>
      <w:r>
        <w:rPr>
          <w:rFonts w:hint="eastAsia" w:ascii="宋体" w:hAnsi="宋体"/>
          <w:b/>
          <w:bCs/>
          <w:sz w:val="24"/>
          <w:szCs w:val="24"/>
          <w:shd w:val="solid" w:color="FFFFFF" w:fill="auto"/>
          <w:lang w:eastAsia="zh-CN"/>
        </w:rPr>
        <w:t>绿化管养：</w:t>
      </w:r>
      <w:r>
        <w:rPr>
          <w:rFonts w:hint="eastAsia" w:ascii="宋体" w:hAnsi="宋体"/>
          <w:sz w:val="24"/>
          <w:szCs w:val="24"/>
          <w:shd w:val="solid" w:color="FFFFFF" w:fill="auto"/>
          <w:lang w:eastAsia="zh-CN"/>
        </w:rPr>
        <w:t>定期对管理区内绿化景观等进行管养维护，包括除草、施肥、浇水、病虫害防治、补植等，保证绿化植物（植被）生长良好，防止水土流失。</w:t>
      </w:r>
      <w:r>
        <w:rPr>
          <w:rFonts w:hint="eastAsia" w:ascii="宋体" w:hAnsi="宋体"/>
          <w:sz w:val="24"/>
          <w:szCs w:val="24"/>
          <w:lang w:eastAsia="zh-CN"/>
        </w:rPr>
        <w:t>管理范围内的草坪修剪每月不少于</w:t>
      </w:r>
      <w:r>
        <w:rPr>
          <w:rFonts w:ascii="宋体" w:hAnsi="宋体"/>
          <w:sz w:val="24"/>
          <w:szCs w:val="24"/>
          <w:highlight w:val="yellow"/>
          <w:lang w:eastAsia="zh-CN"/>
        </w:rPr>
        <w:t>2</w:t>
      </w:r>
      <w:r>
        <w:rPr>
          <w:rFonts w:hint="eastAsia" w:ascii="宋体" w:hAnsi="宋体"/>
          <w:sz w:val="24"/>
          <w:szCs w:val="24"/>
          <w:highlight w:val="yellow"/>
          <w:lang w:eastAsia="zh-CN"/>
        </w:rPr>
        <w:t>次</w:t>
      </w:r>
      <w:r>
        <w:rPr>
          <w:rFonts w:hint="eastAsia" w:ascii="宋体" w:hAnsi="宋体"/>
          <w:sz w:val="24"/>
          <w:szCs w:val="24"/>
          <w:lang w:eastAsia="zh-CN"/>
        </w:rPr>
        <w:t>，修建草坪时应按照规范正确使用割草机，甲方有特殊要求的情况下根据甲方要求增加修剪次数。</w:t>
      </w:r>
    </w:p>
    <w:p>
      <w:pPr>
        <w:pStyle w:val="52"/>
        <w:spacing w:line="360" w:lineRule="auto"/>
        <w:ind w:firstLine="482" w:firstLineChars="200"/>
        <w:jc w:val="both"/>
        <w:rPr>
          <w:rFonts w:ascii="宋体" w:hAnsi="宋体"/>
          <w:b/>
          <w:bCs/>
          <w:sz w:val="24"/>
          <w:szCs w:val="24"/>
          <w:shd w:val="solid" w:color="FFFFFF" w:fill="auto"/>
          <w:lang w:eastAsia="zh-CN"/>
        </w:rPr>
      </w:pPr>
      <w:r>
        <w:rPr>
          <w:rFonts w:hint="eastAsia" w:ascii="宋体" w:hAnsi="宋体"/>
          <w:b/>
          <w:bCs/>
          <w:sz w:val="24"/>
          <w:szCs w:val="24"/>
          <w:shd w:val="solid" w:color="FFFFFF" w:fill="auto"/>
          <w:lang w:eastAsia="zh-CN"/>
        </w:rPr>
        <w:t>E、水质监测、堤坝安全监测：</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（1）配合甲方采集水样，并按照要求监管水质，出现水质问题，立即上报。</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（2）配合甲方做好堤坝安全监测相关工作。</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F、</w:t>
      </w:r>
      <w:r>
        <w:rPr>
          <w:rFonts w:hint="eastAsia" w:ascii="宋体" w:hAnsi="宋体"/>
          <w:b/>
          <w:bCs/>
          <w:sz w:val="24"/>
          <w:szCs w:val="24"/>
          <w:shd w:val="solid" w:color="FFFFFF" w:fill="auto"/>
          <w:lang w:eastAsia="zh-CN"/>
        </w:rPr>
        <w:t>其他内容：</w:t>
      </w:r>
      <w:r>
        <w:rPr>
          <w:rFonts w:hint="eastAsia" w:ascii="宋体" w:hAnsi="宋体"/>
          <w:sz w:val="24"/>
          <w:szCs w:val="24"/>
          <w:shd w:val="solid" w:color="FFFFFF" w:fill="auto"/>
          <w:lang w:eastAsia="zh-CN"/>
        </w:rPr>
        <w:t>由于本项目管养范围内河道常年未经专业化管养，堤防存在较多隐患，同时项目所含河道水位暴涨暴落，过流能力受海潮顶托的影响大，遭受大的洪涝灾害，高水位持续时间长等原因，会使各种水利工程设施遭受严重破坏。在项目管养期间对机电设备进行定期检查和启闭，避免长期未使用无法启闭运行；对现状损坏的栏杆、标志牌进行修复；对河堤坝体零星损坏部分进行修复更换等。</w:t>
      </w:r>
      <w:r>
        <w:rPr>
          <w:rFonts w:hint="eastAsia" w:ascii="宋体" w:hAnsi="宋体"/>
          <w:sz w:val="24"/>
          <w:szCs w:val="24"/>
          <w:highlight w:val="yellow"/>
          <w:shd w:val="solid" w:color="FFFFFF" w:fill="auto"/>
          <w:lang w:eastAsia="zh-CN"/>
        </w:rPr>
        <w:t>故本项目管养维护期间发生的2万元以下小型维修工程，由乙方直接实施，费用直接在管养费用中列支，</w:t>
      </w:r>
      <w:r>
        <w:rPr>
          <w:rFonts w:hint="eastAsia" w:ascii="宋体" w:hAnsi="宋体"/>
          <w:sz w:val="24"/>
          <w:szCs w:val="24"/>
          <w:shd w:val="solid" w:color="FFFFFF" w:fill="auto"/>
          <w:lang w:eastAsia="zh-CN"/>
        </w:rPr>
        <w:t>如规定期限内未进行修复，由甲方组织进行修复，费用从合同款项中扣除；</w:t>
      </w:r>
      <w:r>
        <w:rPr>
          <w:rFonts w:hint="eastAsia" w:ascii="宋体" w:hAnsi="宋体"/>
          <w:sz w:val="24"/>
          <w:szCs w:val="24"/>
          <w:highlight w:val="yellow"/>
          <w:shd w:val="solid" w:color="FFFFFF" w:fill="auto"/>
          <w:lang w:eastAsia="zh-CN"/>
        </w:rPr>
        <w:t>当维修工程超过2万元（含2万元），可向甲方申请应急维修资金。</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为及时消除安全隐患及不影响河道整体功能效果，拟根据损坏工程及河道设施修复费用计，如损毁较为严重的，须请示甲方按相关职责划分聘请专业公司进行专项治理，包含但不仅限以下内容：①堤顶维修养护；②堤坡维修养护。其中堤顶维修养护主要是对局部受损的堤顶路面进行养护、混凝土修补，内容主要包括拆除修复素混凝土路面、修复道路碎石基层、路肩养护土方等。堤坡维修养护包括：草皮护坡（堤坡养护土方、草皮养护、草皮补植）、迎水坡砌体护坡（浆砌石护岸/挡墙维修、勾缝修补、堤坡垫层砂石修补、拆除 砌体）、迎水侧陡墙（沉箱）维护（防浪墙修补、沟缝修补）。</w:t>
      </w:r>
    </w:p>
    <w:p>
      <w:pPr>
        <w:pStyle w:val="52"/>
        <w:spacing w:before="312" w:beforeLines="100" w:line="300" w:lineRule="auto"/>
        <w:ind w:firstLine="482" w:firstLineChars="200"/>
        <w:jc w:val="both"/>
        <w:rPr>
          <w:rFonts w:ascii="宋体" w:hAnsi="宋体"/>
          <w:b/>
          <w:sz w:val="24"/>
          <w:szCs w:val="24"/>
          <w:shd w:val="solid" w:color="FFFFFF" w:fill="auto"/>
          <w:lang w:eastAsia="zh-CN"/>
        </w:rPr>
      </w:pPr>
      <w:r>
        <w:rPr>
          <w:rFonts w:ascii="宋体" w:hAnsi="宋体"/>
          <w:b/>
          <w:sz w:val="24"/>
          <w:szCs w:val="24"/>
          <w:shd w:val="solid" w:color="FFFFFF" w:fill="auto"/>
          <w:lang w:eastAsia="zh-CN"/>
        </w:rPr>
        <w:t>4</w:t>
      </w:r>
      <w:r>
        <w:rPr>
          <w:rFonts w:hint="eastAsia" w:ascii="宋体" w:hAnsi="宋体"/>
          <w:b/>
          <w:sz w:val="24"/>
          <w:szCs w:val="24"/>
          <w:shd w:val="solid" w:color="FFFFFF" w:fill="auto"/>
          <w:lang w:eastAsia="zh-CN"/>
        </w:rPr>
        <w:t>.安全生产</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在运维管养期间，中标人要按照安全生产的相关法律法规的要求履行相关的安全生产责任和义务，招标人有权对中标人的安全生产工作情况进行考核，并采取相关的惩处措施。</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1）中标人须按照《中国人民共和国安全生产法》、《深圳市生产经营单位安全生产主体责任》等有关安全生产法律法规的要求，建立健全相关安全生产制度，成立安全生产管理机构并配备专职安全生产管理人员（以正式文件明确）。中标人要根据项目的具体情况认真执行安全技术技术标准和规范，严格遵守安全制度，落实安全防护措施，加强现场管理，并开展安全隐患的排查治理、员工的安全教育培训、应急演练等相关安全生产工作，随时接受合同甲方及相关单位的监督检查。</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（2）中标人必须使用合格的安全防护用具、机械设备、施工机具及配件等，并要求相关人员按照操作规程和相关规范正确使用上述物品。</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（3）中标人要在水库、河道桥底、水深超过1M的临水区域等危险区域设置必要的救生器材（救生衣、救生圈、救生绳等）。每辆巡河车（包括：电瓶车、电动车）须携带救生衣、救生圈、救生绳至少各1件。</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（4）中标人在河道巡查过程中要及时发现安全隐患，并采取必要措施进行控制或消除隐患；同时劝阻游人的危险行为。</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（5）中标人要安排专人对采购的防汛物资按照相关制度进行管理，做好出入库、库房管理、日常养护等工作。</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6）发现重大安全隐患、违章操作、安全生产事故等情况时，合同甲方有权要求中标人停工整顿，并对其进行经济或其他方面的处罚；必要时，有权终止合同，并将违规人员清退出场，由此造成的经济损失和违约责任由中标人承担。</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（7）由于中标人原因造成的安全事故，全部由中标人承担相应责任及发生的费用。</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8）中标人需配备至少一名专职安全管理人员，对日常管养安全工作负责。安全管理人员应制定安全生产措施和劳动保护计划、安全事故应急预案、监督管理日常安全生产工作，研究制定防止职业危害的措施并监督执行，定期组织开展安全生产大检查，并做好相关记录。中标人应为管养人员配备相应的劳保用品。</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七</w:t>
      </w:r>
      <w:r>
        <w:rPr>
          <w:rFonts w:ascii="黑体" w:hAnsi="黑体" w:eastAsia="黑体"/>
          <w:b/>
          <w:sz w:val="28"/>
          <w:lang w:eastAsia="zh-CN"/>
        </w:rPr>
        <w:t xml:space="preserve">条 </w:t>
      </w:r>
      <w:r>
        <w:rPr>
          <w:rFonts w:hint="eastAsia" w:ascii="黑体" w:hAnsi="黑体" w:eastAsia="黑体"/>
          <w:b/>
          <w:sz w:val="28"/>
          <w:lang w:eastAsia="zh-CN"/>
        </w:rPr>
        <w:t>风险</w:t>
      </w:r>
      <w:r>
        <w:rPr>
          <w:rFonts w:ascii="黑体" w:hAnsi="黑体" w:eastAsia="黑体"/>
          <w:b/>
          <w:sz w:val="28"/>
          <w:lang w:eastAsia="zh-CN"/>
        </w:rPr>
        <w:t>转移</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乙方在水务设施管养时可能发生的所有风险（不可抗力除外）均由乙方承担，甲方因此受到的索赔要求、法律责任由乙方负责赔偿与解决，如因社会第三方引起，乙方有权向第三方索偿的权利，甲方予以协助。乙方在管养服务期</w:t>
      </w:r>
      <w:r>
        <w:rPr>
          <w:rFonts w:hint="eastAsia"/>
          <w:shd w:val="solid" w:color="FFFFFF" w:fill="auto"/>
          <w:lang w:val="en-US" w:eastAsia="zh-CN"/>
        </w:rPr>
        <w:t>及售后服务期</w:t>
      </w:r>
      <w:r>
        <w:rPr>
          <w:rFonts w:hint="eastAsia"/>
          <w:shd w:val="solid" w:color="FFFFFF" w:fill="auto"/>
          <w:lang w:val="en-US"/>
        </w:rPr>
        <w:t>内对其管养工作承担包括并不限于以下责任：</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（1）因乙方对水务设施的检查或抢修不及时，导致地面坍陷、河道护坡坍塌、河道护栏损坏等造成的人身、财产损失索赔和环保处罚等；</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（2）因乙方对河道设施的检查或抢修不及时导致河道防护网损坏、标识牌或警示牌缺失等造成的人身、财产损失索赔和环保处罚等；</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（3）因乙方对水库设施的检查或抢修不及时导致水库防护网损坏、标识牌或警示牌缺失等造成的人身、财产损失索赔和环保处罚等；</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（4）乙方员工或者乙方聘请的工作人员在维护作业过程中以及完成本合同约定的其他工作内容时造成的人身、财产损害。</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 xml:space="preserve">（5）因乙方管养过程中（包括但不限于保洁、绿化等）产生的垃圾未能及时清运到政府指定的收纳场地的，导致相关环保部门处罚及群众投诉等； </w:t>
      </w:r>
      <w:r>
        <w:rPr>
          <w:shd w:val="solid" w:color="FFFFFF" w:fill="auto"/>
          <w:lang w:val="en-US"/>
        </w:rPr>
        <w:t xml:space="preserve">     </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w:t>
      </w:r>
      <w:r>
        <w:rPr>
          <w:shd w:val="solid" w:color="FFFFFF" w:fill="auto"/>
          <w:lang w:val="en-US"/>
        </w:rPr>
        <w:t>6</w:t>
      </w:r>
      <w:r>
        <w:rPr>
          <w:rFonts w:hint="eastAsia"/>
          <w:shd w:val="solid" w:color="FFFFFF" w:fill="auto"/>
          <w:lang w:val="en-US"/>
        </w:rPr>
        <w:t>）其他因乙方对水务设施的检查与维修工作不及时造成的人身、财产损失索赔；</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w:t>
      </w:r>
      <w:r>
        <w:rPr>
          <w:shd w:val="solid" w:color="FFFFFF" w:fill="auto"/>
          <w:lang w:val="en-US"/>
        </w:rPr>
        <w:t>7</w:t>
      </w:r>
      <w:r>
        <w:rPr>
          <w:rFonts w:hint="eastAsia"/>
          <w:shd w:val="solid" w:color="FFFFFF" w:fill="auto"/>
          <w:lang w:val="en-US"/>
        </w:rPr>
        <w:t>）在合同服务期</w:t>
      </w:r>
      <w:r>
        <w:rPr>
          <w:rFonts w:hint="eastAsia"/>
          <w:shd w:val="solid" w:color="FFFFFF" w:fill="auto"/>
          <w:lang w:val="en-US" w:eastAsia="zh-CN"/>
        </w:rPr>
        <w:t>及售后服务期</w:t>
      </w:r>
      <w:r>
        <w:rPr>
          <w:rFonts w:hint="eastAsia"/>
          <w:shd w:val="solid" w:color="FFFFFF" w:fill="auto"/>
          <w:lang w:val="en-US"/>
        </w:rPr>
        <w:t>管辖范围内发生的安全事故、意外事件等，造成人身、财产损失索赔；乙方应购买公众责任险(包括第三方责任险)等相关商业险转移风险，费用计入合同价中，为包干费用，结算时不做任何调整。如乙方未购买或少购买，在运营期间发生的一切事故，责任由乙方负责。</w:t>
      </w:r>
    </w:p>
    <w:p>
      <w:pPr>
        <w:pStyle w:val="2"/>
        <w:spacing w:after="0"/>
        <w:ind w:left="0"/>
        <w:rPr>
          <w:shd w:val="solid" w:color="FFFFFF" w:fill="auto"/>
          <w:lang w:val="en-US"/>
        </w:rPr>
      </w:pP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八</w:t>
      </w:r>
      <w:r>
        <w:rPr>
          <w:rFonts w:ascii="黑体" w:hAnsi="黑体" w:eastAsia="黑体"/>
          <w:b/>
          <w:sz w:val="28"/>
          <w:lang w:eastAsia="zh-CN"/>
        </w:rPr>
        <w:t>条 保修或售后服务要求</w:t>
      </w:r>
    </w:p>
    <w:p>
      <w:pPr>
        <w:jc w:val="both"/>
        <w:outlineLvl w:val="1"/>
        <w:rPr>
          <w:rFonts w:ascii="宋体" w:hAnsi="宋体"/>
          <w:b/>
          <w:sz w:val="24"/>
          <w:lang w:eastAsia="zh-CN"/>
        </w:rPr>
      </w:pPr>
      <w:r>
        <w:rPr>
          <w:rFonts w:ascii="宋体" w:hAnsi="宋体"/>
          <w:b/>
          <w:sz w:val="24"/>
          <w:lang w:eastAsia="zh-CN"/>
        </w:rPr>
        <w:t>1、服务要求</w:t>
      </w:r>
    </w:p>
    <w:p>
      <w:pPr>
        <w:pStyle w:val="59"/>
        <w:tabs>
          <w:tab w:val="left" w:pos="993"/>
          <w:tab w:val="left" w:pos="1320"/>
        </w:tabs>
        <w:spacing w:line="360" w:lineRule="auto"/>
        <w:ind w:left="0" w:firstLine="480" w:firstLineChars="200"/>
        <w:jc w:val="both"/>
        <w:rPr>
          <w:rFonts w:ascii="宋体" w:hAnsi="宋体"/>
          <w:sz w:val="24"/>
          <w:szCs w:val="24"/>
          <w:lang w:eastAsia="zh-CN"/>
        </w:rPr>
      </w:pPr>
      <w:r>
        <w:rPr>
          <w:rFonts w:hint="eastAsia" w:ascii="宋体" w:hAnsi="宋体"/>
          <w:sz w:val="24"/>
          <w:szCs w:val="24"/>
          <w:lang w:eastAsia="zh-CN"/>
        </w:rPr>
        <w:t>（1）</w:t>
      </w:r>
      <w:r>
        <w:rPr>
          <w:rFonts w:ascii="宋体" w:hAnsi="宋体"/>
          <w:sz w:val="24"/>
          <w:szCs w:val="24"/>
          <w:lang w:eastAsia="zh-CN"/>
        </w:rPr>
        <w:t>项目人员现场派驻要求：乙方须承诺在进场前配齐所有项目人员，具体证明材料及人员名单</w:t>
      </w:r>
      <w:r>
        <w:rPr>
          <w:rFonts w:hint="eastAsia" w:ascii="宋体" w:hAnsi="宋体"/>
          <w:sz w:val="24"/>
          <w:szCs w:val="24"/>
          <w:lang w:eastAsia="zh-CN"/>
        </w:rPr>
        <w:t>合同签订</w:t>
      </w:r>
      <w:r>
        <w:rPr>
          <w:rFonts w:ascii="宋体" w:hAnsi="宋体"/>
          <w:sz w:val="24"/>
          <w:szCs w:val="24"/>
          <w:lang w:eastAsia="zh-CN"/>
        </w:rPr>
        <w:t>后须提供，并在运维过程中严格按数量及资质要求配备。要求所有人员实名制，须常驻现场办公，未经甲方允许不得擅离。</w:t>
      </w:r>
    </w:p>
    <w:p>
      <w:pPr>
        <w:pStyle w:val="59"/>
        <w:tabs>
          <w:tab w:val="left" w:pos="993"/>
          <w:tab w:val="left" w:pos="1320"/>
        </w:tabs>
        <w:spacing w:after="0" w:line="360" w:lineRule="auto"/>
        <w:ind w:left="0" w:firstLine="480" w:firstLineChars="200"/>
        <w:jc w:val="both"/>
        <w:rPr>
          <w:rFonts w:ascii="宋体" w:hAnsi="宋体"/>
          <w:sz w:val="24"/>
          <w:szCs w:val="24"/>
          <w:lang w:eastAsia="zh-CN"/>
        </w:rPr>
      </w:pPr>
      <w:r>
        <w:rPr>
          <w:rFonts w:hint="eastAsia" w:ascii="宋体" w:hAnsi="宋体"/>
          <w:sz w:val="24"/>
          <w:szCs w:val="24"/>
          <w:lang w:eastAsia="zh-CN"/>
        </w:rPr>
        <w:t>乙方不得擅自更换驻点业主单位的成员以及其他成员，如因特殊原因更换，需经甲方同意，若更换后的人员无法胜任相应职责，可要求中标人更换和调整，直到满意为止，每更换一名由乙方主动调整但考核不合格的驻点人员，乙方应按合同总价的1.5%支付违约金。</w:t>
      </w:r>
    </w:p>
    <w:p>
      <w:pPr>
        <w:pStyle w:val="59"/>
        <w:tabs>
          <w:tab w:val="left" w:pos="1200"/>
        </w:tabs>
        <w:spacing w:after="0" w:line="360" w:lineRule="auto"/>
        <w:ind w:left="0" w:firstLine="480" w:firstLineChars="200"/>
        <w:jc w:val="both"/>
        <w:rPr>
          <w:rFonts w:ascii="宋体" w:hAnsi="宋体"/>
          <w:sz w:val="24"/>
          <w:szCs w:val="24"/>
          <w:lang w:eastAsia="zh-CN"/>
        </w:rPr>
      </w:pPr>
      <w:r>
        <w:rPr>
          <w:rFonts w:hint="eastAsia" w:ascii="宋体" w:hAnsi="宋体"/>
          <w:sz w:val="24"/>
          <w:szCs w:val="24"/>
          <w:lang w:eastAsia="zh-CN"/>
        </w:rPr>
        <w:t>乙方派驻业主单位工作人员按要求接受甲方考核，考核频率为每季度一次，考核不合格人员乙方应更换和调整，更换后驻点人员在下一季度考核中如果仍不合格，乙方应按合同总价的1%支付违约金，直到更换驻点人员考核合格为止。</w:t>
      </w:r>
    </w:p>
    <w:p>
      <w:pPr>
        <w:pStyle w:val="59"/>
        <w:tabs>
          <w:tab w:val="left" w:pos="1200"/>
        </w:tabs>
        <w:spacing w:after="0" w:line="360" w:lineRule="auto"/>
        <w:ind w:left="0" w:firstLine="480" w:firstLineChars="200"/>
        <w:jc w:val="both"/>
        <w:rPr>
          <w:rFonts w:ascii="宋体" w:hAnsi="宋体"/>
          <w:b/>
          <w:sz w:val="24"/>
          <w:szCs w:val="24"/>
          <w:lang w:eastAsia="zh-CN"/>
        </w:rPr>
      </w:pPr>
      <w:r>
        <w:rPr>
          <w:rFonts w:hint="eastAsia" w:ascii="宋体" w:hAnsi="宋体"/>
          <w:sz w:val="24"/>
          <w:szCs w:val="24"/>
          <w:lang w:eastAsia="zh-CN"/>
        </w:rPr>
        <w:t>（2）</w:t>
      </w:r>
      <w:r>
        <w:rPr>
          <w:rFonts w:ascii="宋体" w:hAnsi="宋体"/>
          <w:spacing w:val="-5"/>
          <w:sz w:val="24"/>
          <w:szCs w:val="24"/>
          <w:lang w:eastAsia="zh-CN"/>
        </w:rPr>
        <w:t>项目人员变更：在服务期限内，项目人员应相对稳定，乙方不得擅自更换项目负责人，否则应向甲方支付合同总价的20%作为违约金；如因不可抗力更换项目负责人，乙方需提前10天以书面形式报告并进行备案，在征得招标人同意后继续行使合同文件约定的前任职权，履行前任的义务。若招标人认为更换后的负责人不能胜任相应职责，可要求中标人更换和调整，直到满意为止，每更换一名不能胜任职责的负责人乙方应向甲方支付5%违约金。如更换现场人员</w:t>
      </w:r>
      <w:r>
        <w:rPr>
          <w:rFonts w:ascii="宋体" w:hAnsi="宋体"/>
          <w:sz w:val="24"/>
          <w:szCs w:val="24"/>
          <w:lang w:eastAsia="zh-CN"/>
        </w:rPr>
        <w:t>，</w:t>
      </w:r>
      <w:r>
        <w:rPr>
          <w:rFonts w:ascii="宋体" w:hAnsi="宋体"/>
          <w:spacing w:val="-15"/>
          <w:sz w:val="24"/>
          <w:szCs w:val="24"/>
          <w:lang w:eastAsia="zh-CN"/>
        </w:rPr>
        <w:t>须提前</w:t>
      </w:r>
      <w:r>
        <w:rPr>
          <w:rFonts w:ascii="宋体" w:hAnsi="宋体"/>
          <w:sz w:val="24"/>
          <w:szCs w:val="24"/>
          <w:lang w:eastAsia="zh-CN"/>
        </w:rPr>
        <w:t>30</w:t>
      </w:r>
      <w:r>
        <w:rPr>
          <w:rFonts w:ascii="宋体" w:hAnsi="宋体"/>
          <w:spacing w:val="-8"/>
          <w:sz w:val="24"/>
          <w:szCs w:val="24"/>
          <w:lang w:eastAsia="zh-CN"/>
        </w:rPr>
        <w:t>个工作日向甲方提供书面申请并经甲方同</w:t>
      </w:r>
      <w:r>
        <w:rPr>
          <w:rFonts w:ascii="宋体" w:hAnsi="宋体"/>
          <w:spacing w:val="-7"/>
          <w:sz w:val="24"/>
          <w:szCs w:val="24"/>
          <w:lang w:eastAsia="zh-CN"/>
        </w:rPr>
        <w:t>意。乙方不得随意更换项目负责人和项目管理团队成员，</w:t>
      </w:r>
      <w:r>
        <w:rPr>
          <w:rFonts w:ascii="宋体" w:hAnsi="宋体"/>
          <w:b/>
          <w:spacing w:val="-3"/>
          <w:sz w:val="24"/>
          <w:szCs w:val="24"/>
          <w:lang w:eastAsia="zh-CN"/>
        </w:rPr>
        <w:t>未经甲方同意擅自更换的，</w:t>
      </w:r>
      <w:r>
        <w:rPr>
          <w:rFonts w:hint="eastAsia" w:ascii="宋体" w:hAnsi="宋体"/>
          <w:b/>
          <w:spacing w:val="-3"/>
          <w:sz w:val="24"/>
          <w:szCs w:val="24"/>
          <w:lang w:eastAsia="zh-CN"/>
        </w:rPr>
        <w:t>情节严重的，</w:t>
      </w:r>
      <w:r>
        <w:rPr>
          <w:rFonts w:ascii="宋体" w:hAnsi="宋体"/>
          <w:b/>
          <w:spacing w:val="-3"/>
          <w:sz w:val="24"/>
          <w:szCs w:val="24"/>
          <w:lang w:eastAsia="zh-CN"/>
        </w:rPr>
        <w:t>甲</w:t>
      </w:r>
      <w:r>
        <w:rPr>
          <w:rFonts w:ascii="宋体" w:hAnsi="宋体"/>
          <w:b/>
          <w:sz w:val="24"/>
          <w:szCs w:val="24"/>
          <w:lang w:eastAsia="zh-CN"/>
        </w:rPr>
        <w:t>方有权解除合同。</w:t>
      </w:r>
    </w:p>
    <w:p>
      <w:pPr>
        <w:pStyle w:val="59"/>
        <w:tabs>
          <w:tab w:val="left" w:pos="1200"/>
        </w:tabs>
        <w:spacing w:after="0"/>
        <w:ind w:left="0" w:firstLine="482"/>
        <w:rPr>
          <w:rFonts w:ascii="宋体" w:hAnsi="宋体"/>
          <w:sz w:val="24"/>
          <w:szCs w:val="24"/>
          <w:lang w:eastAsia="zh-CN"/>
        </w:rPr>
      </w:pPr>
      <w:r>
        <w:rPr>
          <w:rFonts w:ascii="宋体" w:hAnsi="宋体"/>
          <w:spacing w:val="-7"/>
          <w:sz w:val="24"/>
          <w:szCs w:val="24"/>
          <w:lang w:eastAsia="zh-CN"/>
        </w:rPr>
        <w:t>（3）</w:t>
      </w:r>
      <w:r>
        <w:rPr>
          <w:rFonts w:ascii="宋体" w:hAnsi="宋体"/>
          <w:sz w:val="24"/>
          <w:szCs w:val="24"/>
          <w:lang w:eastAsia="zh-CN"/>
        </w:rPr>
        <w:t>生产安全事故扣款</w:t>
      </w:r>
    </w:p>
    <w:p>
      <w:pPr>
        <w:pStyle w:val="59"/>
        <w:tabs>
          <w:tab w:val="left" w:pos="1200"/>
        </w:tabs>
        <w:spacing w:after="0" w:line="360" w:lineRule="auto"/>
        <w:ind w:left="0" w:firstLine="480" w:firstLineChars="200"/>
        <w:jc w:val="both"/>
        <w:rPr>
          <w:rFonts w:ascii="宋体" w:hAnsi="宋体"/>
          <w:b/>
          <w:sz w:val="24"/>
          <w:szCs w:val="24"/>
          <w:lang w:eastAsia="zh-CN"/>
        </w:rPr>
      </w:pPr>
      <w:r>
        <w:rPr>
          <w:rFonts w:ascii="宋体" w:hAnsi="宋体"/>
          <w:sz w:val="24"/>
          <w:szCs w:val="24"/>
          <w:lang w:eastAsia="zh-CN"/>
        </w:rPr>
        <w:t>如发生生产</w:t>
      </w:r>
      <w:r>
        <w:rPr>
          <w:rFonts w:ascii="宋体" w:hAnsi="宋体"/>
          <w:spacing w:val="-8"/>
          <w:sz w:val="24"/>
          <w:szCs w:val="24"/>
          <w:lang w:eastAsia="zh-CN"/>
        </w:rPr>
        <w:t>安全事故，责任认定以有关部门调查报告或意见为准，应根据以下等级比例系数扣除乙方该月已完成工作运维费:主要责任50%,同等责任25%,次要责任15%，涉及行政处罚、赔偿的，以法律法规相关规定及(或)涉事方协商为准。</w:t>
      </w:r>
    </w:p>
    <w:p>
      <w:pPr>
        <w:spacing w:line="360" w:lineRule="auto"/>
        <w:jc w:val="both"/>
        <w:outlineLvl w:val="1"/>
        <w:rPr>
          <w:rFonts w:ascii="宋体" w:hAnsi="宋体"/>
          <w:b/>
          <w:sz w:val="24"/>
          <w:lang w:eastAsia="zh-CN"/>
        </w:rPr>
      </w:pPr>
      <w:r>
        <w:rPr>
          <w:rFonts w:ascii="宋体" w:hAnsi="宋体"/>
          <w:b/>
          <w:sz w:val="24"/>
          <w:lang w:eastAsia="zh-CN"/>
        </w:rPr>
        <w:t>2、技术培训等要求</w:t>
      </w:r>
    </w:p>
    <w:p>
      <w:pPr>
        <w:pStyle w:val="2"/>
        <w:spacing w:after="0" w:line="360" w:lineRule="auto"/>
        <w:ind w:left="0" w:firstLine="480" w:firstLineChars="200"/>
        <w:jc w:val="both"/>
      </w:pPr>
      <w:r>
        <w:rPr>
          <w:rFonts w:hint="eastAsia"/>
        </w:rPr>
        <w:t>项目</w:t>
      </w:r>
      <w:r>
        <w:t>人员上岗前集中培训、教育，培训要求：</w:t>
      </w:r>
    </w:p>
    <w:p>
      <w:pPr>
        <w:pStyle w:val="59"/>
        <w:numPr>
          <w:ilvl w:val="1"/>
          <w:numId w:val="2"/>
        </w:numPr>
        <w:tabs>
          <w:tab w:val="left" w:pos="993"/>
          <w:tab w:val="left" w:pos="1320"/>
        </w:tabs>
        <w:spacing w:after="0" w:line="360" w:lineRule="auto"/>
        <w:ind w:left="0" w:firstLine="476" w:firstLineChars="200"/>
        <w:jc w:val="both"/>
        <w:rPr>
          <w:rFonts w:ascii="宋体" w:hAnsi="宋体"/>
          <w:sz w:val="24"/>
          <w:szCs w:val="24"/>
          <w:lang w:eastAsia="zh-CN"/>
        </w:rPr>
      </w:pPr>
      <w:r>
        <w:rPr>
          <w:rFonts w:ascii="宋体" w:hAnsi="宋体"/>
          <w:spacing w:val="-1"/>
          <w:sz w:val="24"/>
          <w:szCs w:val="24"/>
          <w:lang w:eastAsia="zh-CN"/>
        </w:rPr>
        <w:t>了解和熟悉国家及地方相关法律、法规、规章、规范性文件的要求进行管养</w:t>
      </w:r>
      <w:r>
        <w:rPr>
          <w:rFonts w:ascii="宋体" w:hAnsi="宋体"/>
          <w:sz w:val="24"/>
          <w:szCs w:val="24"/>
          <w:lang w:eastAsia="zh-CN"/>
        </w:rPr>
        <w:t>维护。</w:t>
      </w:r>
    </w:p>
    <w:p>
      <w:pPr>
        <w:pStyle w:val="59"/>
        <w:numPr>
          <w:ilvl w:val="1"/>
          <w:numId w:val="2"/>
        </w:numPr>
        <w:tabs>
          <w:tab w:val="left" w:pos="993"/>
          <w:tab w:val="left" w:pos="1320"/>
        </w:tabs>
        <w:spacing w:after="0" w:line="360" w:lineRule="auto"/>
        <w:ind w:left="0" w:firstLine="480" w:firstLineChars="200"/>
        <w:jc w:val="both"/>
        <w:rPr>
          <w:rFonts w:ascii="宋体" w:hAnsi="宋体"/>
          <w:sz w:val="24"/>
          <w:szCs w:val="24"/>
          <w:lang w:eastAsia="zh-CN"/>
        </w:rPr>
      </w:pPr>
      <w:r>
        <w:rPr>
          <w:rFonts w:ascii="宋体" w:hAnsi="宋体"/>
          <w:sz w:val="24"/>
          <w:szCs w:val="24"/>
          <w:lang w:eastAsia="zh-CN"/>
        </w:rPr>
        <w:t>安全培训：包括现场巡查、机械设备使用等安全教育培训，确保人员</w:t>
      </w:r>
      <w:r>
        <w:rPr>
          <w:rFonts w:ascii="宋体" w:hAnsi="宋体"/>
          <w:spacing w:val="-14"/>
          <w:sz w:val="24"/>
          <w:szCs w:val="24"/>
          <w:lang w:eastAsia="zh-CN"/>
        </w:rPr>
        <w:t>安全。让现场管养人员熟悉机械设备、工具的正确使用方法、完全掌握游泳、驾驶船只、</w:t>
      </w:r>
      <w:r>
        <w:rPr>
          <w:rFonts w:ascii="宋体" w:hAnsi="宋体"/>
          <w:sz w:val="24"/>
          <w:szCs w:val="24"/>
          <w:lang w:eastAsia="zh-CN"/>
        </w:rPr>
        <w:t>打捞水上垃圾、水上救援等各项技能。</w:t>
      </w:r>
    </w:p>
    <w:p>
      <w:pPr>
        <w:pStyle w:val="59"/>
        <w:numPr>
          <w:ilvl w:val="1"/>
          <w:numId w:val="2"/>
        </w:numPr>
        <w:tabs>
          <w:tab w:val="left" w:pos="993"/>
          <w:tab w:val="left" w:pos="1320"/>
        </w:tabs>
        <w:spacing w:after="0" w:line="360" w:lineRule="auto"/>
        <w:ind w:left="0" w:firstLine="476" w:firstLineChars="200"/>
        <w:jc w:val="both"/>
        <w:rPr>
          <w:rFonts w:ascii="宋体" w:hAnsi="宋体"/>
          <w:sz w:val="24"/>
          <w:szCs w:val="24"/>
          <w:lang w:eastAsia="zh-CN"/>
        </w:rPr>
      </w:pPr>
      <w:r>
        <w:rPr>
          <w:rFonts w:ascii="宋体" w:hAnsi="宋体"/>
          <w:spacing w:val="-1"/>
          <w:sz w:val="24"/>
          <w:szCs w:val="24"/>
          <w:lang w:eastAsia="zh-CN"/>
        </w:rPr>
        <w:t>技术培训：使养护人员明确自己的职责与义务，熟悉日常管理维护工作的内</w:t>
      </w:r>
      <w:r>
        <w:rPr>
          <w:rFonts w:ascii="宋体" w:hAnsi="宋体"/>
          <w:sz w:val="24"/>
          <w:szCs w:val="24"/>
          <w:lang w:eastAsia="zh-CN"/>
        </w:rPr>
        <w:t>容。</w:t>
      </w:r>
    </w:p>
    <w:p>
      <w:pPr>
        <w:pStyle w:val="59"/>
        <w:numPr>
          <w:ilvl w:val="1"/>
          <w:numId w:val="2"/>
        </w:numPr>
        <w:tabs>
          <w:tab w:val="left" w:pos="993"/>
          <w:tab w:val="left" w:pos="1320"/>
        </w:tabs>
        <w:spacing w:after="0" w:line="360" w:lineRule="auto"/>
        <w:ind w:left="0" w:firstLine="476" w:firstLineChars="200"/>
        <w:jc w:val="both"/>
        <w:rPr>
          <w:rFonts w:ascii="宋体" w:hAnsi="宋体"/>
          <w:sz w:val="24"/>
          <w:szCs w:val="24"/>
          <w:lang w:eastAsia="zh-CN"/>
        </w:rPr>
      </w:pPr>
      <w:r>
        <w:rPr>
          <w:rFonts w:ascii="宋体" w:hAnsi="宋体"/>
          <w:spacing w:val="-1"/>
          <w:sz w:val="24"/>
          <w:szCs w:val="24"/>
          <w:lang w:eastAsia="zh-CN"/>
        </w:rPr>
        <w:t>培养养护人员认真负责与安全执勤的意识，掌握工作的重点及工作的步骤、</w:t>
      </w:r>
      <w:r>
        <w:rPr>
          <w:rFonts w:ascii="宋体" w:hAnsi="宋体"/>
          <w:sz w:val="24"/>
          <w:szCs w:val="24"/>
          <w:lang w:eastAsia="zh-CN"/>
        </w:rPr>
        <w:t>内容和方法，如何处理或协助处理违禁事件</w:t>
      </w:r>
      <w:r>
        <w:rPr>
          <w:rFonts w:hint="eastAsia" w:ascii="宋体" w:hAnsi="宋体"/>
          <w:sz w:val="24"/>
          <w:szCs w:val="24"/>
          <w:lang w:eastAsia="zh-CN"/>
        </w:rPr>
        <w:t>、违禁</w:t>
      </w:r>
      <w:r>
        <w:rPr>
          <w:rFonts w:ascii="宋体" w:hAnsi="宋体"/>
          <w:sz w:val="24"/>
          <w:szCs w:val="24"/>
          <w:lang w:eastAsia="zh-CN"/>
        </w:rPr>
        <w:t>人员和处理紧急突发事件的能力。</w:t>
      </w:r>
    </w:p>
    <w:p>
      <w:pPr>
        <w:pStyle w:val="59"/>
        <w:numPr>
          <w:ilvl w:val="1"/>
          <w:numId w:val="2"/>
        </w:numPr>
        <w:tabs>
          <w:tab w:val="left" w:pos="993"/>
          <w:tab w:val="left" w:pos="1320"/>
        </w:tabs>
        <w:spacing w:after="0" w:line="360" w:lineRule="auto"/>
        <w:ind w:left="0" w:firstLine="476" w:firstLineChars="200"/>
        <w:jc w:val="both"/>
        <w:rPr>
          <w:rFonts w:ascii="宋体" w:hAnsi="宋体"/>
          <w:sz w:val="24"/>
          <w:szCs w:val="24"/>
          <w:lang w:eastAsia="zh-CN"/>
        </w:rPr>
      </w:pPr>
      <w:r>
        <w:rPr>
          <w:rFonts w:ascii="宋体" w:hAnsi="宋体"/>
          <w:spacing w:val="-1"/>
          <w:sz w:val="24"/>
          <w:szCs w:val="24"/>
          <w:lang w:eastAsia="zh-CN"/>
        </w:rPr>
        <w:t>按照相关规定做好施工现场的安全文明工作，尽量减少实施过程中产生的噪</w:t>
      </w:r>
      <w:r>
        <w:rPr>
          <w:rFonts w:ascii="宋体" w:hAnsi="宋体"/>
          <w:sz w:val="24"/>
          <w:szCs w:val="24"/>
          <w:lang w:eastAsia="zh-CN"/>
        </w:rPr>
        <w:t>声、扬尘、废气、废水对周边环境的影响。</w:t>
      </w:r>
    </w:p>
    <w:p>
      <w:pPr>
        <w:pStyle w:val="59"/>
        <w:numPr>
          <w:ilvl w:val="1"/>
          <w:numId w:val="2"/>
        </w:numPr>
        <w:tabs>
          <w:tab w:val="left" w:pos="993"/>
          <w:tab w:val="left" w:pos="1320"/>
        </w:tabs>
        <w:spacing w:after="0" w:line="360" w:lineRule="auto"/>
        <w:ind w:left="0" w:firstLine="476" w:firstLineChars="200"/>
        <w:jc w:val="both"/>
        <w:rPr>
          <w:rFonts w:ascii="宋体" w:hAnsi="宋体"/>
          <w:sz w:val="24"/>
          <w:szCs w:val="24"/>
          <w:lang w:eastAsia="zh-CN"/>
        </w:rPr>
      </w:pPr>
      <w:r>
        <w:rPr>
          <w:rFonts w:ascii="宋体" w:hAnsi="宋体"/>
          <w:spacing w:val="-1"/>
          <w:sz w:val="24"/>
          <w:szCs w:val="24"/>
          <w:lang w:eastAsia="zh-CN"/>
        </w:rPr>
        <w:t>提高安保及运维人员在执勤巡逻及运行维护时与违禁人员交际沟通、文明劝</w:t>
      </w:r>
      <w:r>
        <w:rPr>
          <w:rFonts w:ascii="宋体" w:hAnsi="宋体"/>
          <w:sz w:val="24"/>
          <w:szCs w:val="24"/>
          <w:lang w:eastAsia="zh-CN"/>
        </w:rPr>
        <w:t>阻的能力，及对违禁事件处理的能力。</w:t>
      </w:r>
    </w:p>
    <w:p>
      <w:pPr>
        <w:pStyle w:val="59"/>
        <w:numPr>
          <w:ilvl w:val="1"/>
          <w:numId w:val="2"/>
        </w:numPr>
        <w:tabs>
          <w:tab w:val="left" w:pos="993"/>
          <w:tab w:val="left" w:pos="1320"/>
        </w:tabs>
        <w:spacing w:after="0" w:line="360" w:lineRule="auto"/>
        <w:ind w:left="0" w:firstLine="476" w:firstLineChars="200"/>
        <w:rPr>
          <w:rFonts w:ascii="宋体" w:hAnsi="宋体"/>
          <w:spacing w:val="-1"/>
          <w:sz w:val="24"/>
          <w:szCs w:val="24"/>
          <w:lang w:eastAsia="zh-CN"/>
        </w:rPr>
      </w:pPr>
      <w:r>
        <w:rPr>
          <w:rFonts w:ascii="宋体" w:hAnsi="宋体"/>
          <w:spacing w:val="-1"/>
          <w:sz w:val="24"/>
          <w:szCs w:val="24"/>
          <w:lang w:eastAsia="zh-CN"/>
        </w:rPr>
        <w:t>乙方须定期对保安人员进行安全基本技能培训，对河道、水库管理管养人员进行防汛抢险、管养巡查、安全等相关专业技术培训，由乙方自行安排，并做好</w:t>
      </w:r>
      <w:r>
        <w:rPr>
          <w:rFonts w:hint="eastAsia" w:ascii="宋体" w:hAnsi="宋体"/>
          <w:spacing w:val="-1"/>
          <w:sz w:val="24"/>
          <w:szCs w:val="24"/>
          <w:lang w:eastAsia="zh-CN"/>
        </w:rPr>
        <w:t>相关记录归档工作，并通知甲方</w:t>
      </w:r>
      <w:r>
        <w:rPr>
          <w:rFonts w:ascii="宋体" w:hAnsi="宋体"/>
          <w:spacing w:val="-1"/>
          <w:sz w:val="24"/>
          <w:szCs w:val="24"/>
          <w:lang w:eastAsia="zh-CN"/>
        </w:rPr>
        <w:t>。</w:t>
      </w:r>
    </w:p>
    <w:p>
      <w:pPr>
        <w:jc w:val="both"/>
        <w:outlineLvl w:val="1"/>
        <w:rPr>
          <w:rFonts w:ascii="宋体" w:hAnsi="宋体"/>
          <w:b/>
          <w:sz w:val="24"/>
          <w:lang w:eastAsia="zh-CN"/>
        </w:rPr>
      </w:pPr>
      <w:r>
        <w:rPr>
          <w:rFonts w:ascii="宋体" w:hAnsi="宋体"/>
          <w:b/>
          <w:sz w:val="24"/>
          <w:lang w:eastAsia="zh-CN"/>
        </w:rPr>
        <w:t>3、发生问题的处理</w:t>
      </w:r>
    </w:p>
    <w:p>
      <w:pPr>
        <w:pStyle w:val="2"/>
        <w:spacing w:after="0" w:line="360" w:lineRule="auto"/>
        <w:ind w:left="0" w:firstLine="482" w:firstLineChars="200"/>
        <w:jc w:val="both"/>
        <w:rPr>
          <w:b/>
          <w:bCs/>
        </w:rPr>
      </w:pPr>
      <w:r>
        <w:rPr>
          <w:b/>
          <w:bCs/>
        </w:rPr>
        <w:t>A</w:t>
      </w:r>
      <w:r>
        <w:rPr>
          <w:rFonts w:hint="eastAsia"/>
          <w:b/>
          <w:bCs/>
        </w:rPr>
        <w:t>、</w:t>
      </w:r>
      <w:r>
        <w:rPr>
          <w:b/>
          <w:bCs/>
        </w:rPr>
        <w:t>水事违法案件处理</w:t>
      </w:r>
    </w:p>
    <w:p>
      <w:pPr>
        <w:pStyle w:val="2"/>
        <w:spacing w:after="0" w:line="360" w:lineRule="auto"/>
        <w:ind w:left="0" w:firstLine="482" w:firstLineChars="200"/>
        <w:jc w:val="both"/>
      </w:pPr>
      <w:r>
        <w:rPr>
          <w:b/>
          <w:bCs/>
        </w:rPr>
        <w:t>乙方除对河道进行日常管理维护外，还须对巡查中发现的各类水事违法案件及时予以劝阻,并及时</w:t>
      </w:r>
      <w:r>
        <w:rPr>
          <w:rFonts w:hint="eastAsia"/>
          <w:b/>
          <w:bCs/>
        </w:rPr>
        <w:t>记录</w:t>
      </w:r>
      <w:r>
        <w:rPr>
          <w:b/>
          <w:bCs/>
        </w:rPr>
        <w:t>上报甲方及相关部门。</w:t>
      </w:r>
    </w:p>
    <w:p>
      <w:pPr>
        <w:pStyle w:val="2"/>
        <w:spacing w:after="0" w:line="360" w:lineRule="auto"/>
        <w:ind w:left="0" w:firstLine="480" w:firstLineChars="200"/>
        <w:jc w:val="both"/>
      </w:pPr>
      <w:r>
        <w:t>常见的水事违法案件包括：</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（1）</w:t>
      </w:r>
      <w:r>
        <w:rPr>
          <w:rFonts w:ascii="宋体" w:hAnsi="宋体"/>
          <w:sz w:val="24"/>
          <w:szCs w:val="24"/>
          <w:lang w:eastAsia="zh-CN"/>
        </w:rPr>
        <w:t>非法倾倒</w:t>
      </w:r>
      <w:r>
        <w:rPr>
          <w:rFonts w:hint="eastAsia" w:ascii="宋体" w:hAnsi="宋体"/>
          <w:sz w:val="24"/>
          <w:szCs w:val="24"/>
          <w:lang w:eastAsia="zh-CN"/>
        </w:rPr>
        <w:t>：</w:t>
      </w:r>
      <w:r>
        <w:rPr>
          <w:rFonts w:ascii="宋体" w:hAnsi="宋体"/>
          <w:sz w:val="24"/>
          <w:szCs w:val="24"/>
          <w:lang w:eastAsia="zh-CN"/>
        </w:rPr>
        <w:t>向管养范围内倾倒生活垃圾、建筑垃圾、工业废料、渣土等。</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（2）</w:t>
      </w:r>
      <w:r>
        <w:rPr>
          <w:rFonts w:ascii="宋体" w:hAnsi="宋体"/>
          <w:sz w:val="24"/>
          <w:szCs w:val="24"/>
          <w:lang w:eastAsia="zh-CN"/>
        </w:rPr>
        <w:t>非法排污</w:t>
      </w:r>
      <w:r>
        <w:rPr>
          <w:rFonts w:hint="eastAsia" w:ascii="宋体" w:hAnsi="宋体"/>
          <w:sz w:val="24"/>
          <w:szCs w:val="24"/>
          <w:lang w:eastAsia="zh-CN"/>
        </w:rPr>
        <w:t>：</w:t>
      </w:r>
      <w:r>
        <w:rPr>
          <w:rFonts w:ascii="宋体" w:hAnsi="宋体"/>
          <w:sz w:val="24"/>
          <w:szCs w:val="24"/>
          <w:lang w:eastAsia="zh-CN"/>
        </w:rPr>
        <w:t>向管养范围内排放粪渣、泥浆、工业污水等。排水口出现污水颜色鲜艳、含有刺激性气味、大量泡沫、油污等现象，属于工业污水排放。</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（3）</w:t>
      </w:r>
      <w:r>
        <w:rPr>
          <w:rFonts w:ascii="宋体" w:hAnsi="宋体"/>
          <w:sz w:val="24"/>
          <w:szCs w:val="24"/>
          <w:lang w:eastAsia="zh-CN"/>
        </w:rPr>
        <w:t>违法施工</w:t>
      </w:r>
      <w:r>
        <w:rPr>
          <w:rFonts w:hint="eastAsia" w:ascii="宋体" w:hAnsi="宋体"/>
          <w:spacing w:val="-6"/>
          <w:sz w:val="24"/>
          <w:szCs w:val="24"/>
          <w:lang w:eastAsia="zh-CN"/>
        </w:rPr>
        <w:t>：</w:t>
      </w:r>
      <w:r>
        <w:rPr>
          <w:rFonts w:ascii="宋体" w:hAnsi="宋体"/>
          <w:spacing w:val="-6"/>
          <w:sz w:val="24"/>
          <w:szCs w:val="24"/>
          <w:lang w:eastAsia="zh-CN"/>
        </w:rPr>
        <w:t>未依法在水务主管部门办理相关手续，擅自在管养范围内打桩、开挖、搭建、爆破、埋</w:t>
      </w:r>
      <w:r>
        <w:rPr>
          <w:rFonts w:ascii="宋体" w:hAnsi="宋体"/>
          <w:spacing w:val="-5"/>
          <w:sz w:val="24"/>
          <w:szCs w:val="24"/>
          <w:lang w:eastAsia="zh-CN"/>
        </w:rPr>
        <w:t>杆等属于违法施工。管养人员发现管养范围内有工程施工行为时，须查验施工单位的相</w:t>
      </w:r>
      <w:r>
        <w:rPr>
          <w:rFonts w:ascii="宋体" w:hAnsi="宋体"/>
          <w:spacing w:val="-3"/>
          <w:sz w:val="24"/>
          <w:szCs w:val="24"/>
          <w:lang w:eastAsia="zh-CN"/>
        </w:rPr>
        <w:t>关许可文件。施工单位无法提供相关许可证书</w:t>
      </w:r>
      <w:r>
        <w:rPr>
          <w:rFonts w:ascii="宋体" w:hAnsi="宋体"/>
          <w:sz w:val="24"/>
          <w:szCs w:val="24"/>
          <w:lang w:eastAsia="zh-CN"/>
        </w:rPr>
        <w:t>（文件等</w:t>
      </w:r>
      <w:r>
        <w:rPr>
          <w:rFonts w:ascii="宋体" w:hAnsi="宋体"/>
          <w:spacing w:val="-10"/>
          <w:sz w:val="24"/>
          <w:szCs w:val="24"/>
          <w:lang w:eastAsia="zh-CN"/>
        </w:rPr>
        <w:t>），</w:t>
      </w:r>
      <w:r>
        <w:rPr>
          <w:rFonts w:ascii="宋体" w:hAnsi="宋体"/>
          <w:spacing w:val="-2"/>
          <w:sz w:val="24"/>
          <w:szCs w:val="24"/>
          <w:lang w:eastAsia="zh-CN"/>
        </w:rPr>
        <w:t>以及未按照许可证书</w:t>
      </w:r>
      <w:r>
        <w:rPr>
          <w:rFonts w:ascii="宋体" w:hAnsi="宋体"/>
          <w:sz w:val="24"/>
          <w:szCs w:val="24"/>
          <w:lang w:eastAsia="zh-CN"/>
        </w:rPr>
        <w:t>（</w:t>
      </w:r>
      <w:r>
        <w:rPr>
          <w:rFonts w:ascii="宋体" w:hAnsi="宋体"/>
          <w:spacing w:val="-7"/>
          <w:sz w:val="24"/>
          <w:szCs w:val="24"/>
          <w:lang w:eastAsia="zh-CN"/>
        </w:rPr>
        <w:t>文件</w:t>
      </w:r>
      <w:r>
        <w:rPr>
          <w:rFonts w:ascii="宋体" w:hAnsi="宋体"/>
          <w:sz w:val="24"/>
          <w:szCs w:val="24"/>
          <w:lang w:eastAsia="zh-CN"/>
        </w:rPr>
        <w:t>等）的规定施工的属于违法施工。</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（4）</w:t>
      </w:r>
      <w:r>
        <w:rPr>
          <w:rFonts w:ascii="宋体" w:hAnsi="宋体"/>
          <w:sz w:val="24"/>
          <w:szCs w:val="24"/>
          <w:lang w:eastAsia="zh-CN"/>
        </w:rPr>
        <w:t>非法经营</w:t>
      </w:r>
      <w:r>
        <w:rPr>
          <w:rFonts w:hint="eastAsia" w:ascii="宋体" w:hAnsi="宋体"/>
          <w:sz w:val="24"/>
          <w:szCs w:val="24"/>
          <w:lang w:eastAsia="zh-CN"/>
        </w:rPr>
        <w:t>：</w:t>
      </w:r>
      <w:r>
        <w:rPr>
          <w:rFonts w:ascii="宋体" w:hAnsi="宋体"/>
          <w:sz w:val="24"/>
          <w:szCs w:val="24"/>
          <w:lang w:eastAsia="zh-CN"/>
        </w:rPr>
        <w:t>在管养范围内从事各种形式的经营性活动，如乱摆摊、从事营业性拍摄、营业性洗车</w:t>
      </w:r>
      <w:r>
        <w:rPr>
          <w:rFonts w:hint="eastAsia" w:ascii="宋体" w:hAnsi="宋体"/>
          <w:sz w:val="24"/>
          <w:szCs w:val="24"/>
          <w:lang w:eastAsia="zh-CN"/>
        </w:rPr>
        <w:t>、</w:t>
      </w:r>
      <w:r>
        <w:rPr>
          <w:rFonts w:ascii="宋体" w:hAnsi="宋体"/>
          <w:sz w:val="24"/>
          <w:szCs w:val="24"/>
          <w:lang w:eastAsia="zh-CN"/>
        </w:rPr>
        <w:t>养殖等。</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（5）</w:t>
      </w:r>
      <w:r>
        <w:rPr>
          <w:rFonts w:ascii="宋体" w:hAnsi="宋体"/>
          <w:sz w:val="24"/>
          <w:szCs w:val="24"/>
          <w:lang w:eastAsia="zh-CN"/>
        </w:rPr>
        <w:t>盗窃或破坏</w:t>
      </w:r>
      <w:r>
        <w:rPr>
          <w:rFonts w:hint="eastAsia" w:ascii="宋体" w:hAnsi="宋体"/>
          <w:sz w:val="24"/>
          <w:szCs w:val="24"/>
          <w:lang w:eastAsia="zh-CN"/>
        </w:rPr>
        <w:t>：</w:t>
      </w:r>
      <w:r>
        <w:rPr>
          <w:rFonts w:ascii="宋体" w:hAnsi="宋体"/>
          <w:sz w:val="24"/>
          <w:szCs w:val="24"/>
          <w:lang w:eastAsia="zh-CN"/>
        </w:rPr>
        <w:t>盗窃或破坏水务设施，如导示标牌、栏杆、垃圾桶等。</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（6）</w:t>
      </w:r>
      <w:r>
        <w:rPr>
          <w:rFonts w:ascii="宋体" w:hAnsi="宋体"/>
          <w:sz w:val="24"/>
          <w:szCs w:val="24"/>
          <w:lang w:eastAsia="zh-CN"/>
        </w:rPr>
        <w:t>其他</w:t>
      </w:r>
      <w:r>
        <w:rPr>
          <w:rFonts w:hint="eastAsia" w:ascii="宋体" w:hAnsi="宋体"/>
          <w:sz w:val="24"/>
          <w:szCs w:val="24"/>
          <w:lang w:eastAsia="zh-CN"/>
        </w:rPr>
        <w:t>：</w:t>
      </w:r>
      <w:r>
        <w:rPr>
          <w:rFonts w:ascii="宋体" w:hAnsi="宋体"/>
          <w:spacing w:val="-6"/>
          <w:sz w:val="24"/>
          <w:szCs w:val="24"/>
          <w:lang w:eastAsia="zh-CN"/>
        </w:rPr>
        <w:t>其他违反《中华人民共和国水法》、《中华人民共和国防洪法》、《中华人民共和</w:t>
      </w:r>
      <w:r>
        <w:rPr>
          <w:rFonts w:ascii="宋体" w:hAnsi="宋体"/>
          <w:spacing w:val="-9"/>
          <w:sz w:val="24"/>
          <w:szCs w:val="24"/>
          <w:lang w:eastAsia="zh-CN"/>
        </w:rPr>
        <w:t>国河道管理条例》、《深圳经济特区水资源管理条例》等国家及地方法律、法规、规章</w:t>
      </w:r>
      <w:r>
        <w:rPr>
          <w:rFonts w:ascii="宋体" w:hAnsi="宋体"/>
          <w:sz w:val="24"/>
          <w:szCs w:val="24"/>
          <w:lang w:eastAsia="zh-CN"/>
        </w:rPr>
        <w:t>的行为。</w:t>
      </w:r>
    </w:p>
    <w:p>
      <w:pPr>
        <w:pStyle w:val="2"/>
        <w:spacing w:after="0" w:line="360" w:lineRule="auto"/>
        <w:ind w:left="0" w:firstLine="482" w:firstLineChars="200"/>
        <w:jc w:val="both"/>
        <w:rPr>
          <w:b/>
          <w:bCs/>
        </w:rPr>
      </w:pPr>
      <w:r>
        <w:rPr>
          <w:rFonts w:hint="eastAsia"/>
          <w:b/>
          <w:bCs/>
        </w:rPr>
        <w:t>B</w:t>
      </w:r>
      <w:r>
        <w:rPr>
          <w:b/>
          <w:bCs/>
        </w:rPr>
        <w:t>、机电设施违法事件处理</w:t>
      </w:r>
    </w:p>
    <w:p>
      <w:pPr>
        <w:pStyle w:val="2"/>
        <w:spacing w:after="0" w:line="360" w:lineRule="auto"/>
        <w:ind w:left="0" w:firstLine="482" w:firstLineChars="200"/>
        <w:jc w:val="both"/>
      </w:pPr>
      <w:r>
        <w:rPr>
          <w:b/>
          <w:bCs/>
        </w:rPr>
        <w:t>乙方除对水务设施进行日常</w:t>
      </w:r>
      <w:r>
        <w:rPr>
          <w:rFonts w:hint="eastAsia"/>
          <w:b/>
          <w:bCs/>
        </w:rPr>
        <w:t>基础</w:t>
      </w:r>
      <w:r>
        <w:rPr>
          <w:b/>
          <w:bCs/>
        </w:rPr>
        <w:t>保养外，还须对巡查中发现的各类机电设施违法案件及时予以劝阻,并及时</w:t>
      </w:r>
      <w:r>
        <w:rPr>
          <w:rFonts w:hint="eastAsia"/>
          <w:b/>
          <w:bCs/>
        </w:rPr>
        <w:t>记录</w:t>
      </w:r>
      <w:r>
        <w:rPr>
          <w:b/>
          <w:bCs/>
        </w:rPr>
        <w:t>上报甲方及相关部门。</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（1）</w:t>
      </w:r>
      <w:r>
        <w:rPr>
          <w:rFonts w:ascii="宋体" w:hAnsi="宋体"/>
          <w:sz w:val="24"/>
          <w:szCs w:val="24"/>
          <w:lang w:eastAsia="zh-CN"/>
        </w:rPr>
        <w:t>违法施工</w:t>
      </w:r>
      <w:r>
        <w:rPr>
          <w:rFonts w:hint="eastAsia" w:ascii="宋体" w:hAnsi="宋体"/>
          <w:sz w:val="24"/>
          <w:szCs w:val="24"/>
          <w:lang w:eastAsia="zh-CN"/>
        </w:rPr>
        <w:t>：</w:t>
      </w:r>
      <w:r>
        <w:rPr>
          <w:rFonts w:ascii="宋体" w:hAnsi="宋体"/>
          <w:spacing w:val="-4"/>
          <w:sz w:val="24"/>
          <w:szCs w:val="24"/>
          <w:lang w:eastAsia="zh-CN"/>
        </w:rPr>
        <w:t>未依法在水务主管部门办理相关手续，擅自在橡胶坝、格栅机、闸门处施工等属于</w:t>
      </w:r>
      <w:r>
        <w:rPr>
          <w:rFonts w:ascii="宋体" w:hAnsi="宋体"/>
          <w:spacing w:val="-7"/>
          <w:sz w:val="24"/>
          <w:szCs w:val="24"/>
          <w:lang w:eastAsia="zh-CN"/>
        </w:rPr>
        <w:t>违法施工。管养人员发现机电设施附近有工程施工行为时，须查验施工单位的相关许可</w:t>
      </w:r>
      <w:r>
        <w:rPr>
          <w:rFonts w:ascii="宋体" w:hAnsi="宋体"/>
          <w:spacing w:val="-4"/>
          <w:sz w:val="24"/>
          <w:szCs w:val="24"/>
          <w:lang w:eastAsia="zh-CN"/>
        </w:rPr>
        <w:t>文件。施工单位无法提供相关许可证书</w:t>
      </w:r>
      <w:r>
        <w:rPr>
          <w:rFonts w:ascii="宋体" w:hAnsi="宋体"/>
          <w:sz w:val="24"/>
          <w:szCs w:val="24"/>
          <w:lang w:eastAsia="zh-CN"/>
        </w:rPr>
        <w:t>（文件等</w:t>
      </w:r>
      <w:r>
        <w:rPr>
          <w:rFonts w:ascii="宋体" w:hAnsi="宋体"/>
          <w:spacing w:val="-8"/>
          <w:sz w:val="24"/>
          <w:szCs w:val="24"/>
          <w:lang w:eastAsia="zh-CN"/>
        </w:rPr>
        <w:t>），</w:t>
      </w:r>
      <w:r>
        <w:rPr>
          <w:rFonts w:ascii="宋体" w:hAnsi="宋体"/>
          <w:spacing w:val="-2"/>
          <w:sz w:val="24"/>
          <w:szCs w:val="24"/>
          <w:lang w:eastAsia="zh-CN"/>
        </w:rPr>
        <w:t>以及未按照许可证书</w:t>
      </w:r>
      <w:r>
        <w:rPr>
          <w:rFonts w:ascii="宋体" w:hAnsi="宋体"/>
          <w:sz w:val="24"/>
          <w:szCs w:val="24"/>
          <w:lang w:eastAsia="zh-CN"/>
        </w:rPr>
        <w:t>（文件等</w:t>
      </w:r>
      <w:r>
        <w:rPr>
          <w:rFonts w:ascii="宋体" w:hAnsi="宋体"/>
          <w:spacing w:val="-8"/>
          <w:sz w:val="24"/>
          <w:szCs w:val="24"/>
          <w:lang w:eastAsia="zh-CN"/>
        </w:rPr>
        <w:t>）</w:t>
      </w:r>
      <w:r>
        <w:rPr>
          <w:rFonts w:ascii="宋体" w:hAnsi="宋体"/>
          <w:spacing w:val="-12"/>
          <w:sz w:val="24"/>
          <w:szCs w:val="24"/>
          <w:lang w:eastAsia="zh-CN"/>
        </w:rPr>
        <w:t>的</w:t>
      </w:r>
      <w:r>
        <w:rPr>
          <w:rFonts w:ascii="宋体" w:hAnsi="宋体"/>
          <w:sz w:val="24"/>
          <w:szCs w:val="24"/>
          <w:lang w:eastAsia="zh-CN"/>
        </w:rPr>
        <w:t>规定施工的属于违法施工。</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（2）</w:t>
      </w:r>
      <w:r>
        <w:rPr>
          <w:rFonts w:ascii="宋体" w:hAnsi="宋体"/>
          <w:sz w:val="24"/>
          <w:szCs w:val="24"/>
          <w:lang w:eastAsia="zh-CN"/>
        </w:rPr>
        <w:t>盗窃或破坏</w:t>
      </w:r>
      <w:r>
        <w:rPr>
          <w:rFonts w:hint="eastAsia" w:ascii="宋体" w:hAnsi="宋体"/>
          <w:sz w:val="24"/>
          <w:szCs w:val="24"/>
          <w:lang w:eastAsia="zh-CN"/>
        </w:rPr>
        <w:t>：</w:t>
      </w:r>
      <w:r>
        <w:rPr>
          <w:rFonts w:ascii="宋体" w:hAnsi="宋体"/>
          <w:sz w:val="24"/>
          <w:szCs w:val="24"/>
          <w:lang w:eastAsia="zh-CN"/>
        </w:rPr>
        <w:t>盗窃或破坏机电设施，如橡胶坝、格栅机、闸门等。</w:t>
      </w:r>
    </w:p>
    <w:p>
      <w:pPr>
        <w:spacing w:after="0" w:line="360" w:lineRule="auto"/>
        <w:ind w:firstLine="480" w:firstLineChars="200"/>
        <w:jc w:val="both"/>
        <w:rPr>
          <w:rFonts w:ascii="宋体" w:hAnsi="宋体"/>
          <w:sz w:val="24"/>
          <w:szCs w:val="24"/>
          <w:lang w:eastAsia="zh-CN"/>
        </w:rPr>
      </w:pPr>
      <w:r>
        <w:rPr>
          <w:rFonts w:ascii="宋体" w:hAnsi="宋体"/>
          <w:sz w:val="24"/>
          <w:szCs w:val="24"/>
          <w:lang w:eastAsia="zh-CN"/>
        </w:rPr>
        <w:t>C</w:t>
      </w:r>
      <w:r>
        <w:rPr>
          <w:rFonts w:hint="eastAsia" w:ascii="宋体" w:hAnsi="宋体"/>
          <w:sz w:val="24"/>
          <w:szCs w:val="24"/>
          <w:lang w:eastAsia="zh-CN"/>
        </w:rPr>
        <w:t>、第三方侵权</w:t>
      </w:r>
    </w:p>
    <w:p>
      <w:pPr>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因第三方原因导致相关设施发生损坏的，乙方应积极配合甲方，勒令相关单位及时进行维修，尽快恢复相关设施的正常运行；若第三方不能及时进行维修，由乙方先行处理，产生的费用上报甲方并由甲方申请维修资金，同时乙方应全力配合甲方向第三方索赔。</w:t>
      </w:r>
    </w:p>
    <w:p>
      <w:pPr>
        <w:jc w:val="both"/>
        <w:outlineLvl w:val="1"/>
        <w:rPr>
          <w:rFonts w:ascii="宋体" w:hAnsi="宋体"/>
          <w:b/>
          <w:sz w:val="24"/>
          <w:lang w:eastAsia="zh-CN"/>
        </w:rPr>
      </w:pPr>
      <w:r>
        <w:rPr>
          <w:rFonts w:ascii="宋体" w:hAnsi="宋体"/>
          <w:b/>
          <w:sz w:val="24"/>
          <w:lang w:eastAsia="zh-CN"/>
        </w:rPr>
        <w:t>4、售后要求</w:t>
      </w:r>
    </w:p>
    <w:p>
      <w:pPr>
        <w:tabs>
          <w:tab w:val="left" w:pos="1320"/>
        </w:tabs>
        <w:spacing w:after="0" w:line="360" w:lineRule="auto"/>
        <w:ind w:firstLine="440" w:firstLineChars="200"/>
        <w:jc w:val="both"/>
        <w:rPr>
          <w:rFonts w:ascii="宋体" w:hAnsi="宋体"/>
          <w:sz w:val="24"/>
          <w:szCs w:val="24"/>
          <w:lang w:eastAsia="zh-CN"/>
        </w:rPr>
      </w:pPr>
      <w:r>
        <w:rPr>
          <w:rFonts w:hint="eastAsia" w:ascii="宋体" w:hAnsi="宋体"/>
          <w:spacing w:val="-10"/>
          <w:sz w:val="24"/>
          <w:szCs w:val="24"/>
          <w:lang w:eastAsia="zh-CN"/>
        </w:rPr>
        <w:t>（1）</w:t>
      </w:r>
      <w:r>
        <w:rPr>
          <w:rFonts w:ascii="宋体" w:hAnsi="宋体"/>
          <w:spacing w:val="-10"/>
          <w:sz w:val="24"/>
          <w:szCs w:val="24"/>
          <w:lang w:eastAsia="zh-CN"/>
        </w:rPr>
        <w:t xml:space="preserve">合同期限内：乙方应 </w:t>
      </w:r>
      <w:r>
        <w:rPr>
          <w:rFonts w:hint="eastAsia" w:ascii="宋体" w:hAnsi="宋体"/>
          <w:spacing w:val="-10"/>
          <w:sz w:val="24"/>
          <w:szCs w:val="24"/>
          <w:lang w:eastAsia="zh-CN"/>
        </w:rPr>
        <w:t>每周</w:t>
      </w:r>
      <w:r>
        <w:rPr>
          <w:rFonts w:ascii="宋体" w:hAnsi="宋体"/>
          <w:sz w:val="24"/>
          <w:szCs w:val="24"/>
          <w:lang w:eastAsia="zh-CN"/>
        </w:rPr>
        <w:t>7</w:t>
      </w:r>
      <w:r>
        <w:rPr>
          <w:rFonts w:ascii="宋体" w:hAnsi="宋体"/>
          <w:spacing w:val="-30"/>
          <w:sz w:val="24"/>
          <w:szCs w:val="24"/>
          <w:lang w:eastAsia="zh-CN"/>
        </w:rPr>
        <w:t xml:space="preserve"> 天</w:t>
      </w:r>
      <w:r>
        <w:rPr>
          <w:rFonts w:ascii="宋体" w:hAnsi="宋体"/>
          <w:sz w:val="24"/>
          <w:szCs w:val="24"/>
          <w:lang w:eastAsia="zh-CN"/>
        </w:rPr>
        <w:t>*24</w:t>
      </w:r>
      <w:r>
        <w:rPr>
          <w:rFonts w:ascii="宋体" w:hAnsi="宋体"/>
          <w:spacing w:val="-11"/>
          <w:sz w:val="24"/>
          <w:szCs w:val="24"/>
          <w:lang w:eastAsia="zh-CN"/>
        </w:rPr>
        <w:t xml:space="preserve"> 小时响应服务，配合甲方，提供全天候、不间</w:t>
      </w:r>
      <w:r>
        <w:rPr>
          <w:rFonts w:ascii="宋体" w:hAnsi="宋体"/>
          <w:spacing w:val="-4"/>
          <w:sz w:val="24"/>
          <w:szCs w:val="24"/>
          <w:lang w:eastAsia="zh-CN"/>
        </w:rPr>
        <w:t>断的服务。</w:t>
      </w:r>
    </w:p>
    <w:p>
      <w:pPr>
        <w:tabs>
          <w:tab w:val="left" w:pos="1320"/>
        </w:tabs>
        <w:spacing w:after="0" w:line="360" w:lineRule="auto"/>
        <w:ind w:firstLine="432" w:firstLineChars="200"/>
        <w:jc w:val="both"/>
        <w:rPr>
          <w:rFonts w:ascii="宋体" w:hAnsi="宋体"/>
          <w:sz w:val="24"/>
          <w:szCs w:val="24"/>
          <w:lang w:eastAsia="zh-CN"/>
        </w:rPr>
      </w:pPr>
      <w:r>
        <w:rPr>
          <w:rFonts w:hint="eastAsia" w:ascii="宋体" w:hAnsi="宋体"/>
          <w:spacing w:val="-12"/>
          <w:sz w:val="24"/>
          <w:szCs w:val="24"/>
          <w:lang w:eastAsia="zh-CN"/>
        </w:rPr>
        <w:t>（2）</w:t>
      </w:r>
      <w:r>
        <w:rPr>
          <w:rFonts w:ascii="宋体" w:hAnsi="宋体"/>
          <w:spacing w:val="-12"/>
          <w:sz w:val="24"/>
          <w:szCs w:val="24"/>
          <w:lang w:eastAsia="zh-CN"/>
        </w:rPr>
        <w:t xml:space="preserve">合同期满 </w:t>
      </w:r>
      <w:r>
        <w:rPr>
          <w:rFonts w:ascii="宋体" w:hAnsi="宋体"/>
          <w:sz w:val="24"/>
          <w:szCs w:val="24"/>
          <w:lang w:eastAsia="zh-CN"/>
        </w:rPr>
        <w:t>3</w:t>
      </w:r>
      <w:r>
        <w:rPr>
          <w:rFonts w:ascii="宋体" w:hAnsi="宋体"/>
          <w:spacing w:val="-9"/>
          <w:sz w:val="24"/>
          <w:szCs w:val="24"/>
          <w:lang w:eastAsia="zh-CN"/>
        </w:rPr>
        <w:t>个月内，配合甲方做好项目</w:t>
      </w:r>
      <w:r>
        <w:rPr>
          <w:rFonts w:hint="eastAsia" w:ascii="宋体" w:hAnsi="宋体"/>
          <w:spacing w:val="-9"/>
          <w:sz w:val="24"/>
          <w:szCs w:val="24"/>
          <w:lang w:eastAsia="zh-CN"/>
        </w:rPr>
        <w:t>考核</w:t>
      </w:r>
      <w:r>
        <w:rPr>
          <w:rFonts w:ascii="宋体" w:hAnsi="宋体"/>
          <w:spacing w:val="-9"/>
          <w:sz w:val="24"/>
          <w:szCs w:val="24"/>
          <w:lang w:eastAsia="zh-CN"/>
        </w:rPr>
        <w:t>、结算送审及下一年度的管养交</w:t>
      </w:r>
      <w:r>
        <w:rPr>
          <w:rFonts w:ascii="宋体" w:hAnsi="宋体"/>
          <w:sz w:val="24"/>
          <w:szCs w:val="24"/>
          <w:lang w:eastAsia="zh-CN"/>
        </w:rPr>
        <w:t>接工作。</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九</w:t>
      </w:r>
      <w:r>
        <w:rPr>
          <w:rFonts w:ascii="黑体" w:hAnsi="黑体" w:eastAsia="黑体"/>
          <w:b/>
          <w:sz w:val="28"/>
          <w:lang w:eastAsia="zh-CN"/>
        </w:rPr>
        <w:t>条 咨询服务资料归属</w:t>
      </w:r>
    </w:p>
    <w:p>
      <w:pPr>
        <w:pStyle w:val="2"/>
        <w:spacing w:after="0" w:line="360" w:lineRule="auto"/>
        <w:ind w:left="0" w:firstLine="480" w:firstLineChars="200"/>
        <w:jc w:val="both"/>
      </w:pPr>
      <w:r>
        <w:t>1、所有提交给甲方的咨询服务文件及相关的资料的最后文本，包括为履行技术咨</w:t>
      </w:r>
      <w:r>
        <w:rPr>
          <w:spacing w:val="-5"/>
        </w:rPr>
        <w:t>询服务范围所编制的图纸、计划和证明资料等，都属于甲方的财产，乙方在提交给甲方</w:t>
      </w:r>
      <w:r>
        <w:t>之前应将上述资料进行整理归类和编制索引。</w:t>
      </w:r>
    </w:p>
    <w:p>
      <w:pPr>
        <w:pStyle w:val="2"/>
        <w:spacing w:after="0" w:line="360" w:lineRule="auto"/>
        <w:ind w:left="0" w:firstLine="480" w:firstLineChars="200"/>
        <w:jc w:val="both"/>
      </w:pPr>
      <w:r>
        <w:t>2、乙方未经甲方的书面同意，不得将上述资料用于与本咨询服务项目之外的任何项目。</w:t>
      </w:r>
    </w:p>
    <w:p>
      <w:pPr>
        <w:pStyle w:val="2"/>
        <w:spacing w:after="0" w:line="360" w:lineRule="auto"/>
        <w:ind w:left="0" w:firstLine="480" w:firstLineChars="200"/>
        <w:jc w:val="both"/>
      </w:pPr>
      <w:r>
        <w:t>3、合同履行完毕，未经甲方的书面同意，乙方不得保存在履行合同过程中所获得或接触到的任何内部数据资料。</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十</w:t>
      </w:r>
      <w:r>
        <w:rPr>
          <w:rFonts w:ascii="黑体" w:hAnsi="黑体" w:eastAsia="黑体"/>
          <w:b/>
          <w:sz w:val="28"/>
          <w:lang w:eastAsia="zh-CN"/>
        </w:rPr>
        <w:t>条 甲方权利义务</w:t>
      </w:r>
    </w:p>
    <w:p>
      <w:pPr>
        <w:pStyle w:val="2"/>
        <w:spacing w:after="0" w:line="360" w:lineRule="auto"/>
        <w:ind w:left="0" w:firstLine="476" w:firstLineChars="200"/>
        <w:jc w:val="both"/>
        <w:rPr>
          <w:lang w:val="en-US"/>
        </w:rPr>
      </w:pPr>
      <w:r>
        <w:rPr>
          <w:spacing w:val="-1"/>
        </w:rPr>
        <w:t>1</w:t>
      </w:r>
      <w:r>
        <w:t>、甲方有权委派</w:t>
      </w:r>
      <w:r>
        <w:rPr>
          <w:rFonts w:hint="eastAsia"/>
          <w:lang w:val="en-US"/>
        </w:rPr>
        <w:t>第三方监管</w:t>
      </w:r>
      <w:r>
        <w:t>负责</w:t>
      </w:r>
      <w:r>
        <w:rPr>
          <w:rFonts w:hint="eastAsia"/>
          <w:lang w:val="en-US"/>
        </w:rPr>
        <w:t>监管</w:t>
      </w:r>
      <w:r>
        <w:t>工作</w:t>
      </w:r>
      <w:r>
        <w:rPr>
          <w:rFonts w:hint="eastAsia"/>
          <w:lang w:val="en-US"/>
        </w:rPr>
        <w:t>对项目结算报告进行审核。</w:t>
      </w:r>
    </w:p>
    <w:p>
      <w:pPr>
        <w:pStyle w:val="2"/>
        <w:spacing w:after="0" w:line="360" w:lineRule="auto"/>
        <w:ind w:left="0" w:firstLine="476" w:firstLineChars="200"/>
        <w:jc w:val="both"/>
      </w:pPr>
      <w:r>
        <w:rPr>
          <w:spacing w:val="-1"/>
        </w:rPr>
        <w:t>2</w:t>
      </w:r>
      <w:r>
        <w:t>、甲方负责资金的落实并按照合同约定的支付办法及时向乙方支付合同款</w:t>
      </w:r>
      <w:r>
        <w:rPr>
          <w:rFonts w:hint="eastAsia"/>
        </w:rPr>
        <w:t>，</w:t>
      </w:r>
      <w:r>
        <w:t>因深汕特别合作区对甲方管养费用的拨付程序等政策上的因素造成付款滞后</w:t>
      </w:r>
      <w:r>
        <w:rPr>
          <w:rFonts w:hint="eastAsia"/>
        </w:rPr>
        <w:t>，</w:t>
      </w:r>
      <w:r>
        <w:t>乙方须予以谅解。</w:t>
      </w:r>
    </w:p>
    <w:p>
      <w:pPr>
        <w:pStyle w:val="2"/>
        <w:spacing w:after="0" w:line="360" w:lineRule="auto"/>
        <w:ind w:left="0" w:firstLine="480" w:firstLineChars="200"/>
        <w:jc w:val="both"/>
      </w:pPr>
      <w:r>
        <w:t>3、甲方有权对乙方工作进行监督管理、检查、指导。</w:t>
      </w:r>
    </w:p>
    <w:p>
      <w:pPr>
        <w:pStyle w:val="2"/>
        <w:spacing w:after="0" w:line="360" w:lineRule="auto"/>
        <w:ind w:left="0" w:firstLine="480" w:firstLineChars="200"/>
        <w:jc w:val="both"/>
      </w:pPr>
      <w:r>
        <w:t>4、全面负责管养的监督管理工作，对合同的执行情况进行总体监督。</w:t>
      </w:r>
    </w:p>
    <w:p>
      <w:pPr>
        <w:pStyle w:val="2"/>
        <w:spacing w:after="0" w:line="360" w:lineRule="auto"/>
        <w:ind w:left="0" w:firstLine="480" w:firstLineChars="200"/>
        <w:jc w:val="both"/>
      </w:pPr>
      <w:r>
        <w:t>5、组织对管养情况的监督检查及考核，根据管养要求及合同检查管养效果。</w:t>
      </w:r>
    </w:p>
    <w:p>
      <w:pPr>
        <w:pStyle w:val="2"/>
        <w:spacing w:after="0" w:line="360" w:lineRule="auto"/>
        <w:ind w:left="0" w:firstLine="480" w:firstLineChars="200"/>
        <w:jc w:val="both"/>
      </w:pPr>
      <w:r>
        <w:t>6、若出现重大事件、突发事件或工作量变化较大时可根据需要要求乙方增加或减少养护人员或安保人员等。</w:t>
      </w:r>
    </w:p>
    <w:p>
      <w:pPr>
        <w:pStyle w:val="2"/>
        <w:spacing w:after="0" w:line="360" w:lineRule="auto"/>
        <w:ind w:left="0" w:firstLine="480" w:firstLineChars="200"/>
        <w:jc w:val="both"/>
      </w:pPr>
      <w:r>
        <w:t>7、协助养护工作中与其它相关单位的协调工作。</w:t>
      </w:r>
    </w:p>
    <w:p>
      <w:pPr>
        <w:pStyle w:val="2"/>
        <w:spacing w:after="0" w:line="360" w:lineRule="auto"/>
        <w:ind w:firstLine="240" w:firstLineChars="100"/>
        <w:jc w:val="both"/>
      </w:pPr>
      <w:r>
        <w:rPr>
          <w:rFonts w:hint="eastAsia"/>
        </w:rPr>
        <w:t>8、甲方有权责令乙方公司在发生乙方项目</w:t>
      </w:r>
      <w:r>
        <w:rPr>
          <w:rFonts w:hint="eastAsia"/>
          <w:lang w:val="en-US"/>
        </w:rPr>
        <w:t>团队人员</w:t>
      </w:r>
      <w:r>
        <w:rPr>
          <w:rFonts w:hint="eastAsia"/>
        </w:rPr>
        <w:t>在工作过程中发生不配合、工作未能及时落实等情况，限时内更换项目</w:t>
      </w:r>
      <w:r>
        <w:rPr>
          <w:rFonts w:hint="eastAsia"/>
          <w:lang w:val="en-US"/>
        </w:rPr>
        <w:t>团队人员</w:t>
      </w:r>
      <w:r>
        <w:rPr>
          <w:rFonts w:hint="eastAsia"/>
        </w:rPr>
        <w:t>。</w:t>
      </w:r>
    </w:p>
    <w:p>
      <w:pPr>
        <w:pStyle w:val="2"/>
        <w:spacing w:after="0" w:line="360" w:lineRule="auto"/>
        <w:ind w:left="0" w:firstLine="480" w:firstLineChars="200"/>
        <w:jc w:val="both"/>
      </w:pPr>
      <w:r>
        <w:rPr>
          <w:rFonts w:hint="eastAsia"/>
        </w:rPr>
        <w:t>9、甲方有权在乙方出现超出甲方及相关政府主管部门根据本合同及相关政策、法规、条例等要求配合的工作事项在限定时间内未能执行时，视情节严重程度对乙方的年度、季度考核在总分上额外扣除1-5分及处相应罚款。</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第十</w:t>
      </w:r>
      <w:r>
        <w:rPr>
          <w:rFonts w:hint="eastAsia" w:ascii="黑体" w:hAnsi="黑体" w:eastAsia="黑体"/>
          <w:b/>
          <w:sz w:val="28"/>
          <w:lang w:eastAsia="zh-CN"/>
        </w:rPr>
        <w:t>一</w:t>
      </w:r>
      <w:r>
        <w:rPr>
          <w:rFonts w:ascii="黑体" w:hAnsi="黑体" w:eastAsia="黑体"/>
          <w:b/>
          <w:sz w:val="28"/>
          <w:lang w:eastAsia="zh-CN"/>
        </w:rPr>
        <w:t>条</w:t>
      </w:r>
      <w:r>
        <w:rPr>
          <w:rFonts w:hint="eastAsia" w:ascii="黑体" w:hAnsi="黑体" w:eastAsia="黑体"/>
          <w:b/>
          <w:sz w:val="28"/>
          <w:lang w:eastAsia="zh-CN"/>
        </w:rPr>
        <w:t xml:space="preserve"> </w:t>
      </w:r>
      <w:r>
        <w:rPr>
          <w:rFonts w:ascii="黑体" w:hAnsi="黑体" w:eastAsia="黑体"/>
          <w:b/>
          <w:sz w:val="28"/>
          <w:lang w:eastAsia="zh-CN"/>
        </w:rPr>
        <w:t>乙方权利义务</w:t>
      </w:r>
    </w:p>
    <w:p>
      <w:pPr>
        <w:pStyle w:val="2"/>
        <w:spacing w:after="0" w:line="360" w:lineRule="auto"/>
        <w:ind w:left="0" w:firstLine="480" w:firstLineChars="200"/>
        <w:jc w:val="both"/>
      </w:pPr>
      <w:r>
        <w:t>1、按照本合同确定的管养范围，根据考核情况取得相应确定的管养经费。</w:t>
      </w:r>
    </w:p>
    <w:p>
      <w:pPr>
        <w:pStyle w:val="2"/>
        <w:spacing w:after="0" w:line="360" w:lineRule="auto"/>
        <w:ind w:left="0" w:firstLine="480" w:firstLineChars="200"/>
        <w:jc w:val="both"/>
      </w:pPr>
      <w:r>
        <w:t>2、按照确定的管养经费制定管养计划，安排日常管养工作。</w:t>
      </w:r>
    </w:p>
    <w:p>
      <w:pPr>
        <w:pStyle w:val="2"/>
        <w:spacing w:after="0" w:line="360" w:lineRule="auto"/>
        <w:ind w:left="0" w:firstLine="480" w:firstLineChars="200"/>
        <w:jc w:val="both"/>
      </w:pPr>
      <w:r>
        <w:t>3、接受甲方（含其委托的</w:t>
      </w:r>
      <w:r>
        <w:rPr>
          <w:rFonts w:hint="eastAsia"/>
          <w:lang w:val="en-US"/>
        </w:rPr>
        <w:t>第三方监管</w:t>
      </w:r>
      <w:r>
        <w:t>单位）的工作指导及工作检查、安排。</w:t>
      </w:r>
    </w:p>
    <w:p>
      <w:pPr>
        <w:pStyle w:val="2"/>
        <w:spacing w:after="0" w:line="360" w:lineRule="auto"/>
        <w:ind w:left="0" w:firstLine="480" w:firstLineChars="200"/>
        <w:jc w:val="both"/>
      </w:pPr>
      <w:r>
        <w:t>4、为加强管理、妥善地履行合同的义务，乙方应委派相关人员，并保持其岗位的相对稳定。</w:t>
      </w:r>
    </w:p>
    <w:p>
      <w:pPr>
        <w:pStyle w:val="2"/>
        <w:spacing w:after="0" w:line="360" w:lineRule="auto"/>
        <w:ind w:left="0" w:firstLine="480" w:firstLineChars="200"/>
        <w:jc w:val="both"/>
      </w:pPr>
      <w:r>
        <w:t>5、避免由于乙方的责任造成现场工作人员以及过往群众的</w:t>
      </w:r>
      <w:r>
        <w:rPr>
          <w:rFonts w:hint="eastAsia"/>
          <w:lang w:val="en-US"/>
        </w:rPr>
        <w:t>人身财产</w:t>
      </w:r>
      <w:r>
        <w:t>安全</w:t>
      </w:r>
      <w:r>
        <w:rPr>
          <w:rFonts w:hint="eastAsia"/>
          <w:lang w:val="en-US"/>
        </w:rPr>
        <w:t>受损</w:t>
      </w:r>
      <w:r>
        <w:t>，采取有效措施使现场和本合同的实施有条不紊，以免使上述人员的安全受到威胁。</w:t>
      </w:r>
    </w:p>
    <w:p>
      <w:pPr>
        <w:pStyle w:val="2"/>
        <w:spacing w:after="0" w:line="360" w:lineRule="auto"/>
        <w:ind w:left="0" w:firstLine="480" w:firstLineChars="200"/>
        <w:jc w:val="both"/>
      </w:pPr>
      <w:r>
        <w:t>6、乙方</w:t>
      </w:r>
      <w:r>
        <w:rPr>
          <w:rFonts w:hint="eastAsia"/>
          <w:lang w:val="en-US"/>
        </w:rPr>
        <w:t>对项目管理养护人员的安全负责，负责工作人员的福利、工资和社会保险及人身意外伤害保险等因项目产生的一切项目支出，</w:t>
      </w:r>
      <w:r>
        <w:t>应当按照本合同约定履行义务，完成管养任务。</w:t>
      </w:r>
    </w:p>
    <w:p>
      <w:pPr>
        <w:pStyle w:val="2"/>
        <w:spacing w:after="0" w:line="360" w:lineRule="auto"/>
        <w:ind w:left="0" w:firstLine="480" w:firstLineChars="200"/>
        <w:jc w:val="both"/>
      </w:pPr>
      <w:r>
        <w:t>7、发生重大事件后应及时上报甲方。</w:t>
      </w:r>
    </w:p>
    <w:p>
      <w:pPr>
        <w:pStyle w:val="2"/>
        <w:spacing w:after="0" w:line="360" w:lineRule="auto"/>
        <w:ind w:left="0" w:firstLine="480" w:firstLineChars="200"/>
        <w:jc w:val="both"/>
        <w:rPr>
          <w:lang w:val="en-US"/>
        </w:rPr>
      </w:pPr>
      <w:r>
        <w:rPr>
          <w:rFonts w:hint="eastAsia"/>
        </w:rPr>
        <w:t>8、</w:t>
      </w:r>
      <w:r>
        <w:rPr>
          <w:rFonts w:hint="eastAsia"/>
          <w:highlight w:val="yellow"/>
        </w:rPr>
        <w:t>根据管养设施维修或抢修估算费用，明确维修实施主体。维修或抢修估算费用在2万元以下（含2万元，</w:t>
      </w:r>
      <w:r>
        <w:rPr>
          <w:rFonts w:hint="eastAsia"/>
          <w:highlight w:val="yellow"/>
          <w:lang w:val="en-US"/>
        </w:rPr>
        <w:t>以甲方组织的第三方造价审核为准</w:t>
      </w:r>
      <w:r>
        <w:rPr>
          <w:rFonts w:hint="eastAsia"/>
          <w:highlight w:val="yellow"/>
        </w:rPr>
        <w:t>）的，由乙方自行组织实施，</w:t>
      </w:r>
      <w:r>
        <w:rPr>
          <w:rFonts w:hint="eastAsia"/>
          <w:highlight w:val="yellow"/>
          <w:lang w:val="en-US"/>
        </w:rPr>
        <w:t>提供所投入人员、设备、机械、物料清单，甲方及时组织验收，除甲方审核同意需合并实施的项目外，禁止乙方为提高维修费用合并项目上报</w:t>
      </w:r>
      <w:r>
        <w:rPr>
          <w:rFonts w:hint="eastAsia"/>
          <w:highlight w:val="yellow"/>
        </w:rPr>
        <w:t>；维修或抢修估算费用在2</w:t>
      </w:r>
      <w:r>
        <w:rPr>
          <w:rFonts w:hint="eastAsia"/>
          <w:highlight w:val="yellow"/>
          <w:lang w:val="en-US"/>
        </w:rPr>
        <w:t>万以上的，</w:t>
      </w:r>
      <w:r>
        <w:rPr>
          <w:rFonts w:hint="eastAsia"/>
          <w:highlight w:val="yellow"/>
        </w:rPr>
        <w:t>由甲方研究决定实施主体。</w:t>
      </w:r>
      <w:r>
        <w:rPr>
          <w:rFonts w:hint="eastAsia"/>
          <w:highlight w:val="yellow"/>
          <w:lang w:val="en-US"/>
        </w:rPr>
        <w:t>维修或抢修工程应遵守质量、安全等法律法规，编制维修或抢修工程档案（包括巡查发现的记录，工程资料档案、维修或抢修前后的对比实物图片、视频等）。</w:t>
      </w:r>
    </w:p>
    <w:p>
      <w:pPr>
        <w:pStyle w:val="2"/>
        <w:spacing w:after="0" w:line="360" w:lineRule="auto"/>
        <w:ind w:left="0" w:firstLine="480" w:firstLineChars="200"/>
        <w:jc w:val="both"/>
      </w:pPr>
      <w:r>
        <w:rPr>
          <w:rFonts w:hint="eastAsia"/>
          <w:lang w:val="en-US"/>
        </w:rPr>
        <w:t>小型维修工程采用工程量清单计价方式，工程修理和设施完善应制定项目实施计划和实施方案，做好质量、安全、进度和投资控制，工程完成后应按规定组织验收，并做好资料归档。</w:t>
      </w:r>
    </w:p>
    <w:p>
      <w:pPr>
        <w:pStyle w:val="2"/>
        <w:spacing w:after="0" w:line="360" w:lineRule="auto"/>
        <w:ind w:left="0" w:firstLine="480" w:firstLineChars="200"/>
        <w:jc w:val="both"/>
      </w:pPr>
      <w:r>
        <w:t>9、</w:t>
      </w:r>
      <w:r>
        <w:rPr>
          <w:rFonts w:hint="eastAsia"/>
          <w:lang w:val="en-US"/>
        </w:rPr>
        <w:t>编制规范、完整的项目结算报告，</w:t>
      </w:r>
      <w:r>
        <w:t>协助、接受项目后续审计工作。</w:t>
      </w:r>
    </w:p>
    <w:p>
      <w:pPr>
        <w:pStyle w:val="2"/>
        <w:spacing w:after="0" w:line="360" w:lineRule="auto"/>
        <w:ind w:left="0" w:firstLine="480" w:firstLineChars="200"/>
        <w:jc w:val="both"/>
        <w:rPr>
          <w:lang w:val="en-US"/>
        </w:rPr>
      </w:pPr>
      <w:r>
        <w:rPr>
          <w:rFonts w:hint="eastAsia"/>
          <w:lang w:val="en-US"/>
        </w:rPr>
        <w:t>10、在年终考核完成后一个月内，乙方完成编制项目结算文件，配合甲方实施项目结算、审计。</w:t>
      </w:r>
    </w:p>
    <w:p>
      <w:pPr>
        <w:pStyle w:val="18"/>
        <w:rPr>
          <w:lang w:eastAsia="zh-CN"/>
        </w:rPr>
      </w:pP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第十</w:t>
      </w:r>
      <w:r>
        <w:rPr>
          <w:rFonts w:hint="eastAsia" w:ascii="黑体" w:hAnsi="黑体" w:eastAsia="黑体"/>
          <w:b/>
          <w:sz w:val="28"/>
          <w:lang w:eastAsia="zh-CN"/>
        </w:rPr>
        <w:t>二</w:t>
      </w:r>
      <w:r>
        <w:rPr>
          <w:rFonts w:ascii="黑体" w:hAnsi="黑体" w:eastAsia="黑体"/>
          <w:b/>
          <w:sz w:val="28"/>
          <w:lang w:eastAsia="zh-CN"/>
        </w:rPr>
        <w:t>条 违约、索赔和争议</w:t>
      </w:r>
    </w:p>
    <w:p>
      <w:pPr>
        <w:spacing w:after="0" w:line="360" w:lineRule="auto"/>
        <w:jc w:val="both"/>
        <w:outlineLvl w:val="1"/>
        <w:rPr>
          <w:rFonts w:ascii="宋体" w:hAnsi="宋体"/>
          <w:b/>
          <w:sz w:val="24"/>
          <w:lang w:eastAsia="zh-CN"/>
        </w:rPr>
      </w:pPr>
      <w:r>
        <w:rPr>
          <w:rFonts w:hint="eastAsia" w:ascii="宋体" w:hAnsi="宋体"/>
          <w:b/>
          <w:sz w:val="24"/>
          <w:lang w:eastAsia="zh-CN"/>
        </w:rPr>
        <w:t>1、</w:t>
      </w:r>
      <w:r>
        <w:rPr>
          <w:rFonts w:ascii="宋体" w:hAnsi="宋体"/>
          <w:b/>
          <w:sz w:val="24"/>
          <w:lang w:eastAsia="zh-CN"/>
        </w:rPr>
        <w:t>违约</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A、一般违约事项处置</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任何一方在本合同履行过程中违反本合同的任何一款约定时，守约方均可以对违约方提出警告，并要求其在一定期间内予以改正。</w:t>
      </w:r>
    </w:p>
    <w:p>
      <w:pPr>
        <w:pStyle w:val="2"/>
        <w:spacing w:after="0" w:line="360" w:lineRule="auto"/>
        <w:ind w:left="0" w:firstLine="480" w:firstLineChars="200"/>
        <w:jc w:val="both"/>
      </w:pPr>
      <w:r>
        <w:rPr>
          <w:rFonts w:hint="eastAsia"/>
        </w:rPr>
        <w:t>改正期届满违约方仍未改正或者虽有改正但仍无法满足本合同要求的，守约方可以根据违约情节要求违约方支付不超过人民币20万元的违约金，并再次要求违约方限期改正。</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B、乙方根本违约事项</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乙方的经营过程中，发生以下事项之一的，甲方可以直接解除本合同、收回管养劳务外包项目，</w:t>
      </w:r>
      <w:r>
        <w:rPr>
          <w:rFonts w:hint="eastAsia" w:ascii="宋体" w:hAnsi="宋体"/>
          <w:sz w:val="24"/>
          <w:szCs w:val="24"/>
          <w:lang w:eastAsia="zh-Hans"/>
        </w:rPr>
        <w:t>并要求乙方支付合同总价</w:t>
      </w:r>
      <w:r>
        <w:rPr>
          <w:rFonts w:ascii="宋体" w:hAnsi="宋体"/>
          <w:sz w:val="24"/>
          <w:szCs w:val="24"/>
          <w:lang w:eastAsia="zh-Hans"/>
        </w:rPr>
        <w:t>20%</w:t>
      </w:r>
      <w:r>
        <w:rPr>
          <w:rFonts w:hint="eastAsia" w:ascii="宋体" w:hAnsi="宋体"/>
          <w:sz w:val="24"/>
          <w:szCs w:val="24"/>
          <w:lang w:eastAsia="zh-Hans"/>
        </w:rPr>
        <w:t>违约金</w:t>
      </w:r>
      <w:r>
        <w:rPr>
          <w:rFonts w:ascii="宋体" w:hAnsi="宋体"/>
          <w:sz w:val="24"/>
          <w:szCs w:val="24"/>
          <w:lang w:eastAsia="zh-Hans"/>
        </w:rPr>
        <w:t>；</w:t>
      </w:r>
      <w:r>
        <w:rPr>
          <w:rFonts w:hint="eastAsia" w:ascii="宋体" w:hAnsi="宋体"/>
          <w:sz w:val="24"/>
          <w:szCs w:val="24"/>
          <w:lang w:eastAsia="zh-Hans"/>
        </w:rPr>
        <w:t>给甲方造成损失的</w:t>
      </w:r>
      <w:r>
        <w:rPr>
          <w:rFonts w:ascii="宋体" w:hAnsi="宋体"/>
          <w:sz w:val="24"/>
          <w:szCs w:val="24"/>
          <w:lang w:eastAsia="zh-Hans"/>
        </w:rPr>
        <w:t>，</w:t>
      </w:r>
      <w:r>
        <w:rPr>
          <w:rFonts w:hint="eastAsia" w:ascii="宋体" w:hAnsi="宋体"/>
          <w:sz w:val="24"/>
          <w:szCs w:val="24"/>
          <w:lang w:eastAsia="zh-Hans"/>
        </w:rPr>
        <w:t>还应赔偿损失</w:t>
      </w:r>
      <w:r>
        <w:rPr>
          <w:rFonts w:hint="eastAsia" w:ascii="宋体" w:hAnsi="宋体"/>
          <w:sz w:val="24"/>
          <w:szCs w:val="24"/>
          <w:lang w:eastAsia="zh-CN"/>
        </w:rPr>
        <w:t>：</w:t>
      </w:r>
      <w:r>
        <w:rPr>
          <w:rFonts w:ascii="宋体" w:hAnsi="宋体"/>
          <w:sz w:val="24"/>
          <w:szCs w:val="24"/>
          <w:lang w:eastAsia="zh-CN"/>
        </w:rPr>
        <w:t xml:space="preserve"> </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（1）未按照合同和技术规范要求实施河道、水库管养工作，经两次书面催办，限定期限内未完成整改及时回复的。</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（2）无正当理由拒绝接收甲方移交的水务设施或者无正当理由拒绝在水务设施移交记录上签字的；</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（3）未经甲方批准，擅自转让、出租、质押管养劳务外包项目的；</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（4）未经甲方批准，擅自停止运营造成较为严重后果；</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（5）发生较大安全责任事故或者造成极为恶劣的社会影响；</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（6）违反市政规划，擅自更改河道线路而拒不改正；</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（7）拒绝接受甲方及有关行政主管部门的监督管理，情节严重的；</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（8）乙方继续运营将危及公共安全或者严重损害公共利益；</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（9）因乙方工作失误，发生较大安全事故。</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（10）因乙方原因，拖欠农民工、管养人员工资，引起上访事件，并导致恶劣社会影响。</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法律、法规、规章规定及本合同约定的其他情形。</w:t>
      </w:r>
    </w:p>
    <w:p>
      <w:pPr>
        <w:tabs>
          <w:tab w:val="left" w:pos="1320"/>
        </w:tabs>
        <w:spacing w:after="0" w:line="360" w:lineRule="auto"/>
        <w:ind w:firstLine="480" w:firstLineChars="200"/>
        <w:jc w:val="both"/>
        <w:rPr>
          <w:rFonts w:ascii="宋体" w:hAnsi="宋体"/>
          <w:spacing w:val="-4"/>
          <w:sz w:val="24"/>
          <w:szCs w:val="24"/>
          <w:u w:val="single"/>
          <w:lang w:eastAsia="zh-CN"/>
        </w:rPr>
      </w:pPr>
      <w:r>
        <w:rPr>
          <w:rFonts w:hint="eastAsia" w:ascii="宋体" w:hAnsi="宋体"/>
          <w:sz w:val="24"/>
          <w:szCs w:val="24"/>
          <w:lang w:eastAsia="zh-CN"/>
        </w:rPr>
        <w:t>C、甲方根本违约事项</w:t>
      </w:r>
    </w:p>
    <w:p>
      <w:pPr>
        <w:pStyle w:val="2"/>
        <w:spacing w:after="0" w:line="360" w:lineRule="auto"/>
        <w:ind w:left="0" w:firstLine="464" w:firstLineChars="200"/>
        <w:jc w:val="both"/>
        <w:rPr>
          <w:rFonts w:cs="Times New Roman"/>
          <w:spacing w:val="-4"/>
          <w:u w:val="single"/>
          <w:lang w:val="en-US" w:bidi="ar-SA"/>
        </w:rPr>
      </w:pPr>
      <w:r>
        <w:rPr>
          <w:rFonts w:hint="eastAsia" w:cs="Times New Roman"/>
          <w:spacing w:val="-4"/>
          <w:u w:val="single"/>
          <w:lang w:val="en-US" w:bidi="ar-SA"/>
        </w:rPr>
        <w:t>有以下所列任一事项发生，乙方有权直接解除本合同：</w:t>
      </w:r>
    </w:p>
    <w:p>
      <w:pPr>
        <w:pStyle w:val="2"/>
        <w:spacing w:after="0" w:line="360" w:lineRule="auto"/>
        <w:ind w:left="0" w:firstLine="464" w:firstLineChars="200"/>
        <w:jc w:val="both"/>
        <w:rPr>
          <w:rFonts w:cs="Times New Roman"/>
          <w:spacing w:val="-4"/>
          <w:u w:val="single"/>
          <w:lang w:val="en-US" w:bidi="ar-SA"/>
        </w:rPr>
      </w:pPr>
      <w:r>
        <w:rPr>
          <w:rFonts w:hint="eastAsia" w:cs="Times New Roman"/>
          <w:spacing w:val="-4"/>
          <w:u w:val="single"/>
          <w:lang w:val="en-US" w:bidi="ar-SA"/>
        </w:rPr>
        <w:t>（1）甲方未能按照本合同的约定向乙方支付运营费超过六个月，经乙方发出催款通知之日起超过一个月仍未能履行付款义务；但因财政支付程序导致的延迟付款，甲方不承担违约责任；</w:t>
      </w:r>
    </w:p>
    <w:p>
      <w:pPr>
        <w:pStyle w:val="2"/>
        <w:spacing w:after="0" w:line="360" w:lineRule="auto"/>
        <w:ind w:left="0" w:firstLine="464" w:firstLineChars="200"/>
        <w:jc w:val="both"/>
      </w:pPr>
      <w:r>
        <w:rPr>
          <w:rFonts w:hint="eastAsia" w:cs="Times New Roman"/>
          <w:spacing w:val="-4"/>
          <w:u w:val="single"/>
          <w:lang w:val="en-US" w:bidi="ar-SA"/>
        </w:rPr>
        <w:t>（2）法律、法规、规章规定及本合同约定的其他情形。</w:t>
      </w:r>
    </w:p>
    <w:p>
      <w:pPr>
        <w:spacing w:after="0" w:line="360" w:lineRule="auto"/>
        <w:jc w:val="both"/>
        <w:outlineLvl w:val="1"/>
        <w:rPr>
          <w:rFonts w:ascii="宋体" w:hAnsi="宋体"/>
          <w:b/>
          <w:sz w:val="24"/>
          <w:highlight w:val="yellow"/>
          <w:lang w:eastAsia="zh-CN"/>
        </w:rPr>
      </w:pPr>
      <w:r>
        <w:rPr>
          <w:rFonts w:ascii="宋体" w:hAnsi="宋体"/>
          <w:b/>
          <w:sz w:val="24"/>
          <w:highlight w:val="yellow"/>
          <w:lang w:eastAsia="zh-CN"/>
        </w:rPr>
        <w:t>2、索赔和争议</w:t>
      </w:r>
    </w:p>
    <w:p>
      <w:pPr>
        <w:pStyle w:val="2"/>
        <w:tabs>
          <w:tab w:val="left" w:pos="1798"/>
        </w:tabs>
        <w:spacing w:after="0" w:line="360" w:lineRule="auto"/>
        <w:ind w:left="0" w:firstLine="480" w:firstLineChars="200"/>
        <w:jc w:val="both"/>
        <w:rPr>
          <w:highlight w:val="yellow"/>
        </w:rPr>
      </w:pPr>
      <w:r>
        <w:rPr>
          <w:highlight w:val="yellow"/>
        </w:rPr>
        <w:t>双方因履行本合同而发生的争议</w:t>
      </w:r>
      <w:r>
        <w:rPr>
          <w:spacing w:val="-10"/>
          <w:highlight w:val="yellow"/>
        </w:rPr>
        <w:t>，</w:t>
      </w:r>
      <w:r>
        <w:rPr>
          <w:highlight w:val="yellow"/>
        </w:rPr>
        <w:t>应协商</w:t>
      </w:r>
      <w:r>
        <w:rPr>
          <w:spacing w:val="-10"/>
          <w:highlight w:val="yellow"/>
        </w:rPr>
        <w:t>、</w:t>
      </w:r>
      <w:r>
        <w:rPr>
          <w:highlight w:val="yellow"/>
        </w:rPr>
        <w:t>调解解决</w:t>
      </w:r>
      <w:r>
        <w:rPr>
          <w:spacing w:val="-10"/>
          <w:highlight w:val="yellow"/>
        </w:rPr>
        <w:t>。</w:t>
      </w:r>
      <w:r>
        <w:rPr>
          <w:highlight w:val="yellow"/>
        </w:rPr>
        <w:t>协商</w:t>
      </w:r>
      <w:r>
        <w:rPr>
          <w:spacing w:val="-10"/>
          <w:highlight w:val="yellow"/>
        </w:rPr>
        <w:t>、</w:t>
      </w:r>
      <w:r>
        <w:rPr>
          <w:highlight w:val="yellow"/>
        </w:rPr>
        <w:t>调解不成的</w:t>
      </w:r>
      <w:r>
        <w:rPr>
          <w:spacing w:val="-10"/>
          <w:highlight w:val="yellow"/>
        </w:rPr>
        <w:t>，</w:t>
      </w:r>
      <w:r>
        <w:rPr>
          <w:highlight w:val="yellow"/>
        </w:rPr>
        <w:t>确定</w:t>
      </w:r>
      <w:r>
        <w:rPr>
          <w:spacing w:val="-15"/>
          <w:highlight w:val="yellow"/>
        </w:rPr>
        <w:t>按</w:t>
      </w:r>
      <w:r>
        <w:rPr>
          <w:highlight w:val="yellow"/>
        </w:rPr>
        <w:t>以下第</w:t>
      </w:r>
      <w:r>
        <w:rPr>
          <w:highlight w:val="yellow"/>
          <w:u w:val="single"/>
        </w:rPr>
        <w:t xml:space="preserve"> </w:t>
      </w:r>
      <w:r>
        <w:rPr>
          <w:spacing w:val="119"/>
          <w:highlight w:val="yellow"/>
          <w:u w:val="single"/>
        </w:rPr>
        <w:t xml:space="preserve"> </w:t>
      </w:r>
      <w:r>
        <w:rPr>
          <w:highlight w:val="yellow"/>
          <w:u w:val="single"/>
        </w:rPr>
        <w:t xml:space="preserve">2   </w:t>
      </w:r>
      <w:r>
        <w:rPr>
          <w:highlight w:val="yellow"/>
        </w:rPr>
        <w:t>种方式处理：</w:t>
      </w:r>
    </w:p>
    <w:p>
      <w:pPr>
        <w:pStyle w:val="2"/>
        <w:tabs>
          <w:tab w:val="left" w:pos="2519"/>
        </w:tabs>
        <w:spacing w:after="0" w:line="360" w:lineRule="auto"/>
        <w:ind w:left="0" w:firstLine="480" w:firstLineChars="200"/>
        <w:jc w:val="both"/>
        <w:rPr>
          <w:highlight w:val="yellow"/>
        </w:rPr>
      </w:pPr>
      <w:r>
        <w:rPr>
          <w:highlight w:val="yellow"/>
        </w:rPr>
        <w:t>1、提交</w:t>
      </w:r>
      <w:r>
        <w:rPr>
          <w:spacing w:val="119"/>
          <w:highlight w:val="yellow"/>
          <w:u w:val="single"/>
        </w:rPr>
        <w:t xml:space="preserve"> </w:t>
      </w:r>
      <w:r>
        <w:rPr>
          <w:highlight w:val="yellow"/>
          <w:u w:val="single"/>
        </w:rPr>
        <w:t>深圳  仲</w:t>
      </w:r>
      <w:r>
        <w:rPr>
          <w:highlight w:val="yellow"/>
        </w:rPr>
        <w:t>裁委员会仲裁；</w:t>
      </w:r>
    </w:p>
    <w:p>
      <w:pPr>
        <w:pStyle w:val="2"/>
        <w:spacing w:after="0" w:line="360" w:lineRule="auto"/>
        <w:ind w:left="0" w:firstLine="480" w:firstLineChars="200"/>
        <w:jc w:val="both"/>
        <w:rPr>
          <w:highlight w:val="yellow"/>
        </w:rPr>
      </w:pPr>
      <w:r>
        <w:rPr>
          <w:highlight w:val="yellow"/>
        </w:rPr>
        <w:t>2、依法向</w:t>
      </w:r>
      <w:r>
        <w:rPr>
          <w:rFonts w:hint="eastAsia"/>
          <w:highlight w:val="yellow"/>
        </w:rPr>
        <w:t>甲</w:t>
      </w:r>
      <w:r>
        <w:rPr>
          <w:highlight w:val="yellow"/>
        </w:rPr>
        <w:t>方所在地人民法院起诉。</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第十</w:t>
      </w:r>
      <w:r>
        <w:rPr>
          <w:rFonts w:hint="eastAsia" w:ascii="黑体" w:hAnsi="黑体" w:eastAsia="黑体"/>
          <w:b/>
          <w:sz w:val="28"/>
          <w:lang w:eastAsia="zh-CN"/>
        </w:rPr>
        <w:t>三</w:t>
      </w:r>
      <w:r>
        <w:rPr>
          <w:rFonts w:ascii="黑体" w:hAnsi="黑体" w:eastAsia="黑体"/>
          <w:b/>
          <w:sz w:val="28"/>
          <w:lang w:eastAsia="zh-CN"/>
        </w:rPr>
        <w:t>条 不可抗力</w:t>
      </w:r>
    </w:p>
    <w:p>
      <w:pPr>
        <w:pStyle w:val="2"/>
        <w:spacing w:after="0" w:line="360" w:lineRule="auto"/>
        <w:ind w:left="0" w:firstLine="480" w:firstLineChars="200"/>
        <w:jc w:val="both"/>
      </w:pPr>
      <w:r>
        <w:t>甲乙双方约定的其他不可抗力：</w:t>
      </w:r>
    </w:p>
    <w:p>
      <w:pPr>
        <w:pStyle w:val="2"/>
        <w:spacing w:after="0" w:line="360" w:lineRule="auto"/>
        <w:ind w:left="0" w:firstLine="480" w:firstLineChars="200"/>
        <w:jc w:val="both"/>
      </w:pPr>
      <w:r>
        <w:t xml:space="preserve">1、平均风力 </w:t>
      </w:r>
      <w:r>
        <w:rPr>
          <w:u w:val="single"/>
        </w:rPr>
        <w:t>8</w:t>
      </w:r>
      <w:r>
        <w:t xml:space="preserve"> 级以上的大风；</w:t>
      </w:r>
    </w:p>
    <w:p>
      <w:pPr>
        <w:pStyle w:val="2"/>
        <w:spacing w:after="0" w:line="360" w:lineRule="auto"/>
        <w:ind w:left="0" w:firstLine="480" w:firstLineChars="200"/>
        <w:jc w:val="both"/>
      </w:pPr>
      <w:r>
        <w:rPr>
          <w:highlight w:val="yellow"/>
        </w:rPr>
        <w:t xml:space="preserve">2、3 个小时内降雨量为 </w:t>
      </w:r>
      <w:r>
        <w:rPr>
          <w:highlight w:val="yellow"/>
          <w:u w:val="single"/>
        </w:rPr>
        <w:t>150</w:t>
      </w:r>
      <w:r>
        <w:rPr>
          <w:highlight w:val="yellow"/>
        </w:rPr>
        <w:t>mm 以上的暴雨；</w:t>
      </w:r>
    </w:p>
    <w:p>
      <w:pPr>
        <w:pStyle w:val="2"/>
        <w:spacing w:after="0" w:line="360" w:lineRule="auto"/>
        <w:ind w:left="0" w:firstLine="480" w:firstLineChars="200"/>
        <w:jc w:val="both"/>
      </w:pPr>
      <w:r>
        <w:t>3、</w:t>
      </w:r>
      <w:r>
        <w:rPr>
          <w:u w:val="single"/>
        </w:rPr>
        <w:t>37</w:t>
      </w:r>
      <w:r>
        <w:t xml:space="preserve"> 摄氏度以上的高温天气；</w:t>
      </w:r>
    </w:p>
    <w:p>
      <w:pPr>
        <w:pStyle w:val="2"/>
        <w:numPr>
          <w:ilvl w:val="0"/>
          <w:numId w:val="3"/>
        </w:numPr>
        <w:spacing w:after="0" w:line="360" w:lineRule="auto"/>
        <w:ind w:left="0" w:firstLine="480" w:firstLineChars="200"/>
        <w:jc w:val="both"/>
        <w:rPr>
          <w:u w:val="single"/>
        </w:rPr>
      </w:pPr>
      <w:r>
        <w:t>其它：</w:t>
      </w:r>
      <w:r>
        <w:rPr>
          <w:u w:val="single"/>
        </w:rPr>
        <w:t>7 级及以上地震。</w:t>
      </w:r>
    </w:p>
    <w:p>
      <w:pPr>
        <w:pStyle w:val="2"/>
        <w:numPr>
          <w:ilvl w:val="0"/>
          <w:numId w:val="3"/>
        </w:numPr>
        <w:spacing w:after="0" w:line="360" w:lineRule="auto"/>
        <w:ind w:left="0" w:firstLine="480" w:firstLineChars="200"/>
        <w:jc w:val="both"/>
        <w:rPr>
          <w:u w:val="single"/>
          <w:lang w:val="en-US"/>
        </w:rPr>
      </w:pPr>
      <w:r>
        <w:rPr>
          <w:rFonts w:hint="eastAsia"/>
          <w:u w:val="single"/>
          <w:lang w:val="en-US"/>
        </w:rPr>
        <w:t>国家、省、市政府或立法机构认定的不可抗力。</w:t>
      </w:r>
    </w:p>
    <w:p>
      <w:pPr>
        <w:pStyle w:val="2"/>
        <w:spacing w:after="0" w:line="360" w:lineRule="auto"/>
        <w:ind w:left="0" w:firstLine="464" w:firstLineChars="200"/>
        <w:jc w:val="both"/>
        <w:rPr>
          <w:rFonts w:cs="Times New Roman"/>
          <w:spacing w:val="-4"/>
          <w:u w:val="single"/>
          <w:lang w:val="en-US" w:bidi="ar-SA"/>
        </w:rPr>
      </w:pPr>
      <w:r>
        <w:rPr>
          <w:rFonts w:cs="Times New Roman"/>
          <w:spacing w:val="-4"/>
          <w:u w:val="single"/>
          <w:lang w:val="en-US" w:bidi="ar-SA"/>
        </w:rPr>
        <w:t>出现暴雨或台风险情时，乙方须接受甲方及水行政主管部门的监督及调配，参与防汛抢险工作。不可抗力发生后，</w:t>
      </w:r>
      <w:r>
        <w:rPr>
          <w:rFonts w:cs="Times New Roman"/>
          <w:spacing w:val="-4"/>
          <w:highlight w:val="yellow"/>
          <w:u w:val="single"/>
          <w:lang w:val="en-US" w:bidi="ar-SA"/>
        </w:rPr>
        <w:t>因乙方怠于采取抢救措施，致使损失扩大的，扩大部分的损失由乙方承担。</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第十</w:t>
      </w:r>
      <w:r>
        <w:rPr>
          <w:rFonts w:hint="eastAsia" w:ascii="黑体" w:hAnsi="黑体" w:eastAsia="黑体"/>
          <w:b/>
          <w:sz w:val="28"/>
          <w:lang w:eastAsia="zh-CN"/>
        </w:rPr>
        <w:t>四</w:t>
      </w:r>
      <w:r>
        <w:rPr>
          <w:rFonts w:ascii="黑体" w:hAnsi="黑体" w:eastAsia="黑体"/>
          <w:b/>
          <w:sz w:val="28"/>
          <w:lang w:eastAsia="zh-CN"/>
        </w:rPr>
        <w:t>条 保险和担保</w:t>
      </w:r>
    </w:p>
    <w:p>
      <w:pPr>
        <w:pStyle w:val="2"/>
        <w:spacing w:after="0" w:line="360" w:lineRule="auto"/>
        <w:ind w:left="0" w:firstLine="480" w:firstLineChars="200"/>
        <w:jc w:val="both"/>
      </w:pPr>
      <w:r>
        <w:t>甲乙双方约定保险事项：</w:t>
      </w:r>
    </w:p>
    <w:p>
      <w:pPr>
        <w:pStyle w:val="2"/>
        <w:tabs>
          <w:tab w:val="left" w:pos="4319"/>
          <w:tab w:val="left" w:pos="6600"/>
        </w:tabs>
        <w:spacing w:after="0" w:line="360" w:lineRule="auto"/>
        <w:ind w:left="0" w:firstLine="480" w:firstLineChars="200"/>
        <w:jc w:val="both"/>
      </w:pPr>
      <w:r>
        <w:t>1、甲方投保内容：</w:t>
      </w:r>
      <w:r>
        <w:rPr>
          <w:u w:val="single"/>
        </w:rPr>
        <w:t xml:space="preserve"> </w:t>
      </w:r>
      <w:r>
        <w:rPr>
          <w:u w:val="single"/>
        </w:rPr>
        <w:tab/>
      </w:r>
      <w:r>
        <w:rPr>
          <w:u w:val="single"/>
        </w:rPr>
        <w:t>/</w:t>
      </w:r>
      <w:r>
        <w:rPr>
          <w:u w:val="single"/>
        </w:rPr>
        <w:tab/>
      </w:r>
    </w:p>
    <w:p>
      <w:pPr>
        <w:pStyle w:val="2"/>
        <w:spacing w:after="0" w:line="360" w:lineRule="auto"/>
        <w:ind w:left="0" w:firstLine="480" w:firstLineChars="200"/>
        <w:jc w:val="both"/>
      </w:pPr>
      <w:r>
        <w:t>2、乙方投保内容：</w:t>
      </w:r>
      <w:r>
        <w:rPr>
          <w:rFonts w:hint="eastAsia"/>
          <w:u w:val="single"/>
        </w:rPr>
        <w:t>按照深圳市</w:t>
      </w:r>
      <w:r>
        <w:rPr>
          <w:u w:val="single"/>
        </w:rPr>
        <w:t>有关规定办理</w:t>
      </w:r>
      <w:r>
        <w:rPr>
          <w:rFonts w:hint="eastAsia"/>
          <w:u w:val="single"/>
        </w:rPr>
        <w:t>。</w:t>
      </w:r>
      <w:r>
        <w:rPr>
          <w:u w:val="single"/>
        </w:rPr>
        <w:t>乙方须为员工办理意外伤害保险</w:t>
      </w:r>
      <w:r>
        <w:rPr>
          <w:rFonts w:hint="eastAsia"/>
          <w:u w:val="single"/>
        </w:rPr>
        <w:t>，</w:t>
      </w:r>
      <w:r>
        <w:rPr>
          <w:u w:val="single"/>
        </w:rPr>
        <w:t>并为本项目购买公众责任险</w:t>
      </w:r>
      <w:r>
        <w:rPr>
          <w:rFonts w:hint="eastAsia"/>
          <w:u w:val="single"/>
        </w:rPr>
        <w:t>，</w:t>
      </w:r>
      <w:r>
        <w:rPr>
          <w:u w:val="single"/>
        </w:rPr>
        <w:t>公众责任险承保范围须涵盖本项目所有内容</w:t>
      </w:r>
      <w:r>
        <w:rPr>
          <w:rFonts w:hint="eastAsia"/>
          <w:u w:val="single"/>
        </w:rPr>
        <w:t>。如乙方未购买或少购买，在合同实施期间发生的一切事故责任由乙方承担。</w:t>
      </w:r>
    </w:p>
    <w:p>
      <w:pPr>
        <w:pStyle w:val="2"/>
        <w:spacing w:after="0" w:line="360" w:lineRule="auto"/>
        <w:ind w:left="0" w:firstLine="480" w:firstLineChars="200"/>
        <w:jc w:val="both"/>
      </w:pPr>
      <w:r>
        <w:t>具体的保险类型、保险责任范围、对外责任、赔偿处理、被保险人义务、总则，费率等问题，由乙方和保险公司协商决定，本</w:t>
      </w:r>
      <w:r>
        <w:rPr>
          <w:rFonts w:hint="eastAsia"/>
        </w:rPr>
        <w:t>合同</w:t>
      </w:r>
      <w:r>
        <w:t>不做具体要求。</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第十</w:t>
      </w:r>
      <w:r>
        <w:rPr>
          <w:rFonts w:hint="eastAsia" w:ascii="黑体" w:hAnsi="黑体" w:eastAsia="黑体"/>
          <w:b/>
          <w:sz w:val="28"/>
          <w:lang w:eastAsia="zh-CN"/>
        </w:rPr>
        <w:t>五</w:t>
      </w:r>
      <w:r>
        <w:rPr>
          <w:rFonts w:ascii="黑体" w:hAnsi="黑体" w:eastAsia="黑体"/>
          <w:b/>
          <w:sz w:val="28"/>
          <w:lang w:eastAsia="zh-CN"/>
        </w:rPr>
        <w:t>条 其他约定</w:t>
      </w:r>
    </w:p>
    <w:p>
      <w:pPr>
        <w:pStyle w:val="2"/>
        <w:spacing w:after="0" w:line="360" w:lineRule="auto"/>
        <w:ind w:left="0" w:firstLine="480" w:firstLineChars="200"/>
        <w:jc w:val="both"/>
      </w:pPr>
      <w:r>
        <w:t>1、下列文件均为本合同的组成部分：</w:t>
      </w:r>
    </w:p>
    <w:p>
      <w:pPr>
        <w:pStyle w:val="59"/>
        <w:tabs>
          <w:tab w:val="left" w:pos="1439"/>
        </w:tabs>
        <w:spacing w:after="0" w:line="360" w:lineRule="auto"/>
        <w:ind w:left="480"/>
        <w:jc w:val="both"/>
        <w:rPr>
          <w:rFonts w:ascii="宋体" w:hAnsi="宋体"/>
          <w:sz w:val="24"/>
          <w:szCs w:val="24"/>
          <w:lang w:eastAsia="zh-CN"/>
        </w:rPr>
      </w:pPr>
      <w:r>
        <w:rPr>
          <w:rFonts w:hint="eastAsia" w:ascii="宋体" w:hAnsi="宋体"/>
          <w:sz w:val="24"/>
          <w:szCs w:val="24"/>
          <w:lang w:eastAsia="zh-CN"/>
        </w:rPr>
        <w:t>（1）《投标文件》；</w:t>
      </w:r>
    </w:p>
    <w:p>
      <w:pPr>
        <w:pStyle w:val="59"/>
        <w:tabs>
          <w:tab w:val="left" w:pos="1439"/>
        </w:tabs>
        <w:spacing w:after="0" w:line="360" w:lineRule="auto"/>
        <w:ind w:left="480"/>
        <w:jc w:val="both"/>
        <w:rPr>
          <w:rFonts w:ascii="宋体" w:hAnsi="宋体"/>
          <w:sz w:val="24"/>
          <w:szCs w:val="24"/>
          <w:lang w:eastAsia="zh-CN"/>
        </w:rPr>
      </w:pPr>
      <w:r>
        <w:rPr>
          <w:rFonts w:hint="eastAsia" w:ascii="宋体" w:hAnsi="宋体"/>
          <w:sz w:val="24"/>
          <w:szCs w:val="24"/>
          <w:lang w:eastAsia="zh-CN"/>
        </w:rPr>
        <w:t>（2）《深圳市深汕特别合作区深水水务公司水库管养细则》</w:t>
      </w:r>
      <w:r>
        <w:rPr>
          <w:rFonts w:ascii="宋体" w:hAnsi="宋体"/>
          <w:sz w:val="24"/>
          <w:szCs w:val="24"/>
          <w:lang w:eastAsia="zh-CN"/>
        </w:rPr>
        <w:t>；</w:t>
      </w:r>
    </w:p>
    <w:p>
      <w:pPr>
        <w:pStyle w:val="59"/>
        <w:tabs>
          <w:tab w:val="left" w:pos="1320"/>
        </w:tabs>
        <w:spacing w:after="0" w:line="360" w:lineRule="auto"/>
        <w:ind w:left="480"/>
        <w:jc w:val="both"/>
        <w:rPr>
          <w:rFonts w:ascii="宋体" w:hAnsi="宋体"/>
          <w:sz w:val="24"/>
          <w:szCs w:val="24"/>
          <w:lang w:eastAsia="zh-CN"/>
        </w:rPr>
      </w:pPr>
      <w:r>
        <w:rPr>
          <w:rFonts w:hint="eastAsia" w:ascii="宋体" w:hAnsi="宋体"/>
          <w:sz w:val="24"/>
          <w:szCs w:val="24"/>
          <w:lang w:eastAsia="zh-CN"/>
        </w:rPr>
        <w:t>（3）《深圳市深汕特别合作区深水水务公司河道管养细则》</w:t>
      </w:r>
      <w:r>
        <w:rPr>
          <w:rFonts w:ascii="宋体" w:hAnsi="宋体"/>
          <w:sz w:val="24"/>
          <w:szCs w:val="24"/>
          <w:lang w:eastAsia="zh-CN"/>
        </w:rPr>
        <w:t>；</w:t>
      </w:r>
    </w:p>
    <w:p>
      <w:pPr>
        <w:pStyle w:val="59"/>
        <w:tabs>
          <w:tab w:val="left" w:pos="1320"/>
        </w:tabs>
        <w:spacing w:after="0" w:line="360" w:lineRule="auto"/>
        <w:ind w:left="480"/>
        <w:jc w:val="both"/>
        <w:rPr>
          <w:rFonts w:ascii="宋体" w:hAnsi="宋体"/>
          <w:sz w:val="24"/>
          <w:szCs w:val="24"/>
          <w:lang w:eastAsia="zh-CN"/>
        </w:rPr>
      </w:pPr>
      <w:r>
        <w:rPr>
          <w:rFonts w:hint="eastAsia" w:ascii="宋体" w:hAnsi="宋体"/>
          <w:sz w:val="24"/>
          <w:szCs w:val="24"/>
          <w:lang w:eastAsia="zh-CN"/>
        </w:rPr>
        <w:t>（4）《深圳市深汕特别合作区水库、河道管养劳务外包项目安全协议》；</w:t>
      </w:r>
    </w:p>
    <w:p>
      <w:pPr>
        <w:pStyle w:val="59"/>
        <w:tabs>
          <w:tab w:val="left" w:pos="1320"/>
        </w:tabs>
        <w:spacing w:after="0" w:line="360" w:lineRule="auto"/>
        <w:ind w:left="480"/>
        <w:jc w:val="both"/>
        <w:rPr>
          <w:rFonts w:ascii="宋体" w:hAnsi="宋体"/>
          <w:sz w:val="24"/>
          <w:szCs w:val="24"/>
          <w:lang w:eastAsia="zh-CN"/>
        </w:rPr>
      </w:pPr>
      <w:r>
        <w:rPr>
          <w:rFonts w:hint="eastAsia" w:ascii="宋体" w:hAnsi="宋体"/>
          <w:sz w:val="24"/>
          <w:szCs w:val="24"/>
          <w:lang w:eastAsia="zh-CN"/>
        </w:rPr>
        <w:t>（5）《“水务大管家”业务运维考核奖惩实施办法》；</w:t>
      </w:r>
    </w:p>
    <w:p>
      <w:pPr>
        <w:pStyle w:val="59"/>
        <w:tabs>
          <w:tab w:val="left" w:pos="1320"/>
        </w:tabs>
        <w:spacing w:after="0" w:line="360" w:lineRule="auto"/>
        <w:ind w:left="480"/>
        <w:jc w:val="both"/>
        <w:rPr>
          <w:rFonts w:ascii="宋体" w:hAnsi="宋体"/>
          <w:sz w:val="24"/>
          <w:szCs w:val="24"/>
          <w:lang w:eastAsia="zh-CN"/>
        </w:rPr>
      </w:pPr>
      <w:r>
        <w:rPr>
          <w:rFonts w:hint="eastAsia" w:ascii="宋体" w:hAnsi="宋体"/>
          <w:sz w:val="24"/>
          <w:szCs w:val="24"/>
          <w:lang w:eastAsia="zh-CN"/>
        </w:rPr>
        <w:t>（6）</w:t>
      </w:r>
      <w:r>
        <w:rPr>
          <w:rFonts w:ascii="宋体" w:hAnsi="宋体"/>
          <w:sz w:val="24"/>
          <w:szCs w:val="24"/>
          <w:lang w:eastAsia="zh-CN"/>
        </w:rPr>
        <w:t>本合同执行中共同签署的补充与修正文件。</w:t>
      </w:r>
    </w:p>
    <w:p>
      <w:pPr>
        <w:pStyle w:val="2"/>
        <w:spacing w:after="0" w:line="360" w:lineRule="auto"/>
        <w:ind w:left="0" w:firstLine="480" w:firstLineChars="200"/>
        <w:jc w:val="both"/>
      </w:pPr>
      <w:r>
        <w:t>2、本合同一式</w:t>
      </w:r>
      <w:r>
        <w:rPr>
          <w:rFonts w:hint="eastAsia"/>
          <w:u w:val="single"/>
        </w:rPr>
        <w:t xml:space="preserve"> 捌 </w:t>
      </w:r>
      <w:r>
        <w:t>份，甲方执</w:t>
      </w:r>
      <w:r>
        <w:rPr>
          <w:u w:val="single"/>
        </w:rPr>
        <w:t xml:space="preserve"> </w:t>
      </w:r>
      <w:r>
        <w:rPr>
          <w:rFonts w:hint="eastAsia"/>
          <w:u w:val="single"/>
        </w:rPr>
        <w:t>肆</w:t>
      </w:r>
      <w:r>
        <w:rPr>
          <w:u w:val="single"/>
        </w:rPr>
        <w:t xml:space="preserve"> </w:t>
      </w:r>
      <w:r>
        <w:t>份，乙方执</w:t>
      </w:r>
      <w:r>
        <w:rPr>
          <w:u w:val="single"/>
        </w:rPr>
        <w:t xml:space="preserve"> </w:t>
      </w:r>
      <w:r>
        <w:rPr>
          <w:rFonts w:hint="eastAsia"/>
          <w:u w:val="single"/>
        </w:rPr>
        <w:t>肆</w:t>
      </w:r>
      <w:r>
        <w:rPr>
          <w:u w:val="single"/>
        </w:rPr>
        <w:t xml:space="preserve"> </w:t>
      </w:r>
      <w:r>
        <w:t>份，具有同等法律效力。本合同自双方法人代表签字（盖章）认可之日起生效。合同期满</w:t>
      </w:r>
      <w:r>
        <w:rPr>
          <w:rFonts w:hint="eastAsia"/>
        </w:rPr>
        <w:t>，</w:t>
      </w:r>
      <w:r>
        <w:t>管养任务完成，并结清所有费用后自行失效。</w:t>
      </w:r>
    </w:p>
    <w:p>
      <w:pPr>
        <w:pStyle w:val="2"/>
        <w:spacing w:after="0" w:line="360" w:lineRule="auto"/>
        <w:ind w:left="0" w:firstLine="480" w:firstLineChars="200"/>
        <w:jc w:val="both"/>
      </w:pPr>
      <w:r>
        <w:t>3、本合同未尽事宜，双方友好协商，达成解决方案，经双方签字后，可作为本合同的有效附件。</w:t>
      </w:r>
    </w:p>
    <w:p>
      <w:pPr>
        <w:pStyle w:val="2"/>
        <w:spacing w:after="0" w:line="360" w:lineRule="auto"/>
        <w:ind w:left="0"/>
        <w:jc w:val="both"/>
      </w:pPr>
      <w:r>
        <w:br w:type="page"/>
      </w:r>
    </w:p>
    <w:p>
      <w:pPr>
        <w:pStyle w:val="2"/>
        <w:spacing w:after="0" w:line="360" w:lineRule="auto"/>
        <w:ind w:left="0" w:firstLine="480" w:firstLineChars="200"/>
        <w:jc w:val="both"/>
      </w:pPr>
      <w:r>
        <w:rPr>
          <w:rFonts w:hint="eastAsia"/>
        </w:rPr>
        <w:t>以下</w:t>
      </w:r>
      <w:r>
        <w:t>无正文，属于签字盖章页。</w:t>
      </w:r>
    </w:p>
    <w:p>
      <w:pPr>
        <w:pStyle w:val="2"/>
        <w:spacing w:after="0" w:line="360" w:lineRule="auto"/>
        <w:ind w:left="0" w:firstLine="480" w:firstLineChars="200"/>
        <w:jc w:val="both"/>
      </w:pPr>
    </w:p>
    <w:p>
      <w:pPr>
        <w:spacing w:after="0" w:line="480" w:lineRule="auto"/>
        <w:ind w:firstLine="480" w:firstLineChars="200"/>
        <w:jc w:val="both"/>
        <w:rPr>
          <w:rFonts w:ascii="宋体" w:hAnsi="宋体"/>
          <w:b/>
          <w:sz w:val="24"/>
          <w:szCs w:val="24"/>
          <w:u w:val="single"/>
          <w:lang w:eastAsia="zh-CN"/>
        </w:rPr>
      </w:pPr>
      <w:r>
        <w:rPr>
          <w:rFonts w:ascii="宋体" w:hAnsi="宋体"/>
          <w:sz w:val="24"/>
          <w:szCs w:val="24"/>
          <w:lang w:eastAsia="zh-CN"/>
        </w:rPr>
        <w:t>甲方（盖章）：</w:t>
      </w:r>
      <w:r>
        <w:rPr>
          <w:rFonts w:hint="eastAsia" w:ascii="宋体" w:hAnsi="宋体"/>
          <w:b/>
          <w:sz w:val="24"/>
          <w:szCs w:val="24"/>
          <w:u w:val="single"/>
          <w:lang w:eastAsia="zh-CN"/>
        </w:rPr>
        <w:t>深圳市深汕特别合作区深水水务有限公司</w:t>
      </w:r>
    </w:p>
    <w:p>
      <w:pPr>
        <w:pStyle w:val="2"/>
        <w:spacing w:after="0" w:line="480" w:lineRule="auto"/>
        <w:ind w:left="0" w:firstLine="480" w:firstLineChars="200"/>
        <w:jc w:val="both"/>
      </w:pPr>
      <w:r>
        <w:t>法定代表人</w:t>
      </w:r>
      <w:r>
        <w:rPr>
          <w:rFonts w:hint="eastAsia"/>
        </w:rPr>
        <w:t>：</w:t>
      </w:r>
    </w:p>
    <w:p>
      <w:pPr>
        <w:pStyle w:val="2"/>
        <w:spacing w:after="0" w:line="480" w:lineRule="auto"/>
        <w:ind w:left="0" w:firstLine="480" w:firstLineChars="200"/>
        <w:jc w:val="both"/>
      </w:pPr>
      <w:r>
        <w:t>或其授权代表（签</w:t>
      </w:r>
      <w:r>
        <w:rPr>
          <w:rFonts w:hint="eastAsia"/>
        </w:rPr>
        <w:t>章</w:t>
      </w:r>
      <w:r>
        <w:t>）：</w:t>
      </w:r>
    </w:p>
    <w:p>
      <w:pPr>
        <w:pStyle w:val="2"/>
        <w:spacing w:after="0" w:line="480" w:lineRule="auto"/>
        <w:ind w:left="0" w:firstLine="480" w:firstLineChars="200"/>
        <w:jc w:val="both"/>
      </w:pPr>
      <w:r>
        <w:t>通讯地址：</w:t>
      </w:r>
      <w:r>
        <w:rPr>
          <w:rFonts w:hint="eastAsia"/>
          <w:u w:val="single"/>
        </w:rPr>
        <w:t xml:space="preserve">          </w:t>
      </w:r>
      <w:r>
        <w:rPr>
          <w:u w:val="single"/>
        </w:rPr>
        <w:t xml:space="preserve">                </w:t>
      </w:r>
      <w:r>
        <w:rPr>
          <w:rFonts w:hint="eastAsia"/>
          <w:u w:val="single"/>
        </w:rPr>
        <w:t xml:space="preserve"> </w:t>
      </w:r>
    </w:p>
    <w:p>
      <w:pPr>
        <w:pStyle w:val="2"/>
        <w:spacing w:after="0" w:line="480" w:lineRule="auto"/>
        <w:ind w:left="0" w:firstLine="480" w:firstLineChars="200"/>
        <w:jc w:val="both"/>
      </w:pPr>
      <w:r>
        <w:t>电话</w:t>
      </w:r>
      <w:r>
        <w:rPr>
          <w:b/>
        </w:rPr>
        <w:t>/</w:t>
      </w:r>
      <w:r>
        <w:t>传真：</w:t>
      </w:r>
      <w:r>
        <w:rPr>
          <w:rFonts w:hint="eastAsia"/>
          <w:u w:val="single"/>
        </w:rPr>
        <w:t xml:space="preserve">         </w:t>
      </w:r>
      <w:r>
        <w:rPr>
          <w:u w:val="single"/>
        </w:rPr>
        <w:t xml:space="preserve">               </w:t>
      </w:r>
      <w:r>
        <w:rPr>
          <w:rFonts w:hint="eastAsia"/>
          <w:u w:val="single"/>
        </w:rPr>
        <w:t xml:space="preserve">  </w:t>
      </w:r>
    </w:p>
    <w:p>
      <w:pPr>
        <w:pStyle w:val="2"/>
        <w:tabs>
          <w:tab w:val="left" w:pos="1438"/>
        </w:tabs>
        <w:spacing w:after="0" w:line="480" w:lineRule="auto"/>
        <w:ind w:left="0" w:firstLine="480" w:firstLineChars="200"/>
        <w:jc w:val="both"/>
        <w:rPr>
          <w:spacing w:val="-17"/>
        </w:rPr>
      </w:pPr>
      <w:r>
        <w:t>开户银行</w:t>
      </w:r>
      <w:r>
        <w:rPr>
          <w:spacing w:val="-17"/>
        </w:rPr>
        <w:t xml:space="preserve">： </w:t>
      </w:r>
    </w:p>
    <w:p>
      <w:pPr>
        <w:pStyle w:val="2"/>
        <w:spacing w:after="0" w:line="480" w:lineRule="auto"/>
        <w:ind w:left="0" w:firstLine="480" w:firstLineChars="200"/>
        <w:jc w:val="both"/>
      </w:pPr>
      <w:r>
        <w:t>账    号</w:t>
      </w:r>
      <w:r>
        <w:rPr>
          <w:spacing w:val="-17"/>
        </w:rPr>
        <w:t>：</w:t>
      </w:r>
    </w:p>
    <w:p>
      <w:pPr>
        <w:spacing w:after="0" w:line="360" w:lineRule="auto"/>
        <w:ind w:firstLine="480" w:firstLineChars="200"/>
        <w:jc w:val="both"/>
        <w:rPr>
          <w:rFonts w:ascii="宋体" w:hAnsi="宋体"/>
          <w:sz w:val="24"/>
          <w:szCs w:val="24"/>
          <w:lang w:eastAsia="zh-CN"/>
        </w:rPr>
      </w:pPr>
    </w:p>
    <w:p>
      <w:pPr>
        <w:spacing w:after="0" w:line="360" w:lineRule="auto"/>
        <w:ind w:firstLine="480" w:firstLineChars="200"/>
        <w:jc w:val="both"/>
        <w:rPr>
          <w:rFonts w:ascii="宋体" w:hAnsi="宋体"/>
          <w:sz w:val="24"/>
          <w:szCs w:val="24"/>
          <w:lang w:eastAsia="zh-CN"/>
        </w:rPr>
      </w:pPr>
    </w:p>
    <w:p>
      <w:pPr>
        <w:spacing w:after="0" w:line="480" w:lineRule="auto"/>
        <w:ind w:firstLine="480" w:firstLineChars="200"/>
        <w:jc w:val="both"/>
        <w:rPr>
          <w:rFonts w:ascii="宋体" w:hAnsi="宋体"/>
          <w:b/>
          <w:sz w:val="24"/>
          <w:szCs w:val="24"/>
          <w:u w:val="single"/>
          <w:lang w:eastAsia="zh-CN"/>
        </w:rPr>
      </w:pPr>
      <w:r>
        <w:rPr>
          <w:rFonts w:ascii="宋体" w:hAnsi="宋体"/>
          <w:sz w:val="24"/>
          <w:szCs w:val="24"/>
          <w:lang w:eastAsia="zh-CN"/>
        </w:rPr>
        <w:t>乙方（盖章）：</w:t>
      </w:r>
      <w:r>
        <w:rPr>
          <w:rFonts w:hint="eastAsia" w:ascii="宋体" w:hAnsi="宋体"/>
          <w:b/>
          <w:sz w:val="24"/>
          <w:szCs w:val="24"/>
          <w:u w:val="single"/>
          <w:lang w:eastAsia="zh-CN"/>
        </w:rPr>
        <w:t>XX公司</w:t>
      </w:r>
    </w:p>
    <w:p>
      <w:pPr>
        <w:pStyle w:val="2"/>
        <w:spacing w:after="0" w:line="480" w:lineRule="auto"/>
        <w:ind w:left="0" w:firstLine="480" w:firstLineChars="200"/>
        <w:jc w:val="both"/>
      </w:pPr>
      <w:r>
        <w:t>法定代表人</w:t>
      </w:r>
      <w:r>
        <w:rPr>
          <w:rFonts w:hint="eastAsia"/>
        </w:rPr>
        <w:t>：</w:t>
      </w:r>
    </w:p>
    <w:p>
      <w:pPr>
        <w:pStyle w:val="2"/>
        <w:spacing w:after="0" w:line="480" w:lineRule="auto"/>
        <w:ind w:left="0" w:firstLine="480" w:firstLineChars="200"/>
        <w:jc w:val="both"/>
      </w:pPr>
      <w:r>
        <w:t>或其授权代表（签</w:t>
      </w:r>
      <w:r>
        <w:rPr>
          <w:rFonts w:hint="eastAsia"/>
        </w:rPr>
        <w:t>章</w:t>
      </w:r>
      <w:r>
        <w:t>）：</w:t>
      </w:r>
    </w:p>
    <w:p>
      <w:pPr>
        <w:pStyle w:val="2"/>
        <w:spacing w:after="0" w:line="480" w:lineRule="auto"/>
        <w:ind w:left="0" w:firstLine="480" w:firstLineChars="200"/>
        <w:jc w:val="both"/>
      </w:pPr>
      <w:r>
        <w:t>通讯地址：</w:t>
      </w:r>
      <w:r>
        <w:rPr>
          <w:rFonts w:hint="eastAsia"/>
          <w:u w:val="single"/>
        </w:rPr>
        <w:t xml:space="preserve">           </w:t>
      </w:r>
      <w:r>
        <w:rPr>
          <w:u w:val="single"/>
        </w:rPr>
        <w:t xml:space="preserve">            </w:t>
      </w:r>
      <w:r>
        <w:rPr>
          <w:rFonts w:hint="eastAsia"/>
          <w:u w:val="single"/>
        </w:rPr>
        <w:t xml:space="preserve">  </w:t>
      </w:r>
    </w:p>
    <w:p>
      <w:pPr>
        <w:pStyle w:val="2"/>
        <w:spacing w:after="0" w:line="480" w:lineRule="auto"/>
        <w:ind w:left="0" w:firstLine="480" w:firstLineChars="200"/>
        <w:jc w:val="both"/>
      </w:pPr>
      <w:r>
        <w:t>电话</w:t>
      </w:r>
      <w:r>
        <w:rPr>
          <w:b/>
        </w:rPr>
        <w:t>/</w:t>
      </w:r>
      <w:r>
        <w:t>传真：</w:t>
      </w:r>
      <w:r>
        <w:rPr>
          <w:u w:val="single"/>
        </w:rPr>
        <w:t xml:space="preserve"> </w:t>
      </w:r>
      <w:r>
        <w:rPr>
          <w:rFonts w:hint="eastAsia"/>
          <w:u w:val="single"/>
        </w:rPr>
        <w:t xml:space="preserve">        </w:t>
      </w:r>
      <w:r>
        <w:rPr>
          <w:u w:val="single"/>
        </w:rPr>
        <w:t xml:space="preserve">            </w:t>
      </w:r>
      <w:r>
        <w:rPr>
          <w:rFonts w:hint="eastAsia"/>
          <w:u w:val="single"/>
        </w:rPr>
        <w:t xml:space="preserve">   </w:t>
      </w:r>
    </w:p>
    <w:p>
      <w:pPr>
        <w:pStyle w:val="2"/>
        <w:spacing w:after="0" w:line="480" w:lineRule="auto"/>
        <w:ind w:left="0" w:firstLine="480" w:firstLineChars="200"/>
        <w:jc w:val="both"/>
      </w:pPr>
      <w:r>
        <w:t>开户银行：</w:t>
      </w:r>
    </w:p>
    <w:p>
      <w:pPr>
        <w:ind w:firstLine="440" w:firstLineChars="200"/>
        <w:jc w:val="both"/>
        <w:rPr>
          <w:rFonts w:ascii="宋体" w:hAnsi="宋体"/>
          <w:lang w:eastAsia="zh-CN"/>
        </w:rPr>
      </w:pPr>
      <w:r>
        <w:rPr>
          <w:rFonts w:ascii="宋体" w:hAnsi="宋体"/>
          <w:lang w:eastAsia="zh-CN"/>
        </w:rPr>
        <w:t>账    号：</w:t>
      </w:r>
    </w:p>
    <w:p>
      <w:pPr>
        <w:ind w:firstLine="440" w:firstLineChars="200"/>
        <w:jc w:val="both"/>
        <w:rPr>
          <w:rFonts w:ascii="宋体" w:hAnsi="宋体"/>
          <w:lang w:eastAsia="zh-CN"/>
        </w:rPr>
      </w:pPr>
    </w:p>
    <w:p>
      <w:pPr>
        <w:ind w:firstLine="440" w:firstLineChars="200"/>
        <w:jc w:val="both"/>
        <w:rPr>
          <w:rFonts w:ascii="宋体" w:hAnsi="宋体"/>
          <w:lang w:eastAsia="zh-CN"/>
        </w:rPr>
      </w:pPr>
    </w:p>
    <w:p>
      <w:pPr>
        <w:ind w:firstLine="440" w:firstLineChars="200"/>
        <w:jc w:val="both"/>
        <w:rPr>
          <w:rFonts w:ascii="宋体" w:hAnsi="宋体"/>
          <w:lang w:eastAsia="zh-CN"/>
        </w:rPr>
      </w:pPr>
    </w:p>
    <w:p>
      <w:pPr>
        <w:ind w:firstLine="440" w:firstLineChars="200"/>
        <w:jc w:val="both"/>
        <w:rPr>
          <w:rFonts w:ascii="宋体" w:hAnsi="宋体"/>
          <w:lang w:eastAsia="zh-CN"/>
        </w:rPr>
      </w:pPr>
    </w:p>
    <w:p>
      <w:pPr>
        <w:jc w:val="both"/>
        <w:rPr>
          <w:rFonts w:ascii="宋体" w:hAnsi="宋体"/>
          <w:lang w:eastAsia="zh-CN"/>
        </w:rPr>
      </w:pPr>
    </w:p>
    <w:p>
      <w:pPr>
        <w:rPr>
          <w:rFonts w:ascii="宋体" w:hAnsi="宋体" w:cs="宋体"/>
          <w:sz w:val="32"/>
          <w:szCs w:val="24"/>
          <w:lang w:val="zh-CN" w:eastAsia="zh-CN" w:bidi="zh-CN"/>
        </w:rPr>
      </w:pPr>
      <w:r>
        <w:rPr>
          <w:rFonts w:hint="eastAsia" w:ascii="宋体" w:hAnsi="宋体" w:cs="宋体"/>
          <w:sz w:val="32"/>
          <w:szCs w:val="24"/>
          <w:lang w:val="zh-CN" w:eastAsia="zh-CN" w:bidi="zh-CN"/>
        </w:rPr>
        <w:t xml:space="preserve">附件1： </w:t>
      </w:r>
      <w:r>
        <w:rPr>
          <w:rFonts w:ascii="宋体" w:hAnsi="宋体" w:cs="宋体"/>
          <w:sz w:val="32"/>
          <w:szCs w:val="24"/>
          <w:lang w:val="zh-CN" w:eastAsia="zh-CN" w:bidi="zh-CN"/>
        </w:rPr>
        <w:t xml:space="preserve">       </w:t>
      </w:r>
    </w:p>
    <w:p>
      <w:pPr>
        <w:jc w:val="center"/>
        <w:rPr>
          <w:rFonts w:ascii="宋体" w:hAnsi="宋体" w:cs="宋体"/>
          <w:b/>
          <w:sz w:val="52"/>
          <w:szCs w:val="24"/>
          <w:lang w:val="zh-CN" w:eastAsia="zh-CN" w:bidi="zh-CN"/>
        </w:rPr>
      </w:pPr>
      <w:r>
        <w:rPr>
          <w:rFonts w:hint="eastAsia" w:ascii="宋体" w:hAnsi="宋体" w:cs="宋体"/>
          <w:b/>
          <w:sz w:val="52"/>
          <w:szCs w:val="24"/>
          <w:lang w:val="zh-CN" w:eastAsia="zh-CN" w:bidi="zh-CN"/>
        </w:rPr>
        <w:t>深圳市深汕特别合作区水库、河道管养劳务外包项目</w:t>
      </w:r>
    </w:p>
    <w:p>
      <w:pPr>
        <w:jc w:val="center"/>
        <w:rPr>
          <w:rFonts w:ascii="宋体" w:hAnsi="宋体" w:cs="宋体"/>
          <w:b/>
          <w:sz w:val="52"/>
          <w:szCs w:val="24"/>
          <w:lang w:val="zh-CN" w:eastAsia="zh-CN" w:bidi="zh-CN"/>
        </w:rPr>
      </w:pPr>
      <w:r>
        <w:rPr>
          <w:rFonts w:hint="eastAsia" w:ascii="宋体" w:hAnsi="宋体" w:cs="宋体"/>
          <w:b/>
          <w:sz w:val="52"/>
          <w:szCs w:val="24"/>
          <w:lang w:val="zh-CN" w:eastAsia="zh-CN" w:bidi="zh-CN"/>
        </w:rPr>
        <w:t>安全协议</w:t>
      </w:r>
    </w:p>
    <w:p>
      <w:pPr>
        <w:jc w:val="center"/>
        <w:rPr>
          <w:rFonts w:ascii="宋体" w:hAnsi="宋体" w:cs="宋体"/>
          <w:b/>
          <w:sz w:val="52"/>
          <w:szCs w:val="24"/>
          <w:lang w:val="zh-CN" w:eastAsia="zh-CN" w:bidi="zh-CN"/>
        </w:rPr>
      </w:pPr>
    </w:p>
    <w:p>
      <w:pPr>
        <w:jc w:val="center"/>
        <w:rPr>
          <w:rFonts w:ascii="宋体" w:hAnsi="宋体" w:cs="宋体"/>
          <w:b/>
          <w:sz w:val="52"/>
          <w:szCs w:val="24"/>
          <w:lang w:val="zh-CN" w:eastAsia="zh-CN" w:bidi="zh-CN"/>
        </w:rPr>
      </w:pPr>
    </w:p>
    <w:p>
      <w:pPr>
        <w:jc w:val="center"/>
        <w:rPr>
          <w:rFonts w:ascii="宋体" w:hAnsi="宋体" w:cs="宋体"/>
          <w:b/>
          <w:sz w:val="52"/>
          <w:szCs w:val="24"/>
          <w:lang w:val="zh-CN" w:eastAsia="zh-CN" w:bidi="zh-CN"/>
        </w:rPr>
      </w:pPr>
    </w:p>
    <w:p>
      <w:pPr>
        <w:rPr>
          <w:rFonts w:ascii="宋体" w:hAnsi="宋体" w:cs="宋体"/>
          <w:b/>
          <w:sz w:val="52"/>
          <w:szCs w:val="24"/>
          <w:lang w:val="zh-CN" w:eastAsia="zh-CN" w:bidi="zh-CN"/>
        </w:rPr>
      </w:pPr>
    </w:p>
    <w:p>
      <w:pPr>
        <w:ind w:left="620"/>
        <w:rPr>
          <w:rFonts w:ascii="楷体" w:hAnsi="楷体" w:eastAsia="楷体"/>
          <w:b/>
          <w:sz w:val="28"/>
          <w:szCs w:val="32"/>
          <w:u w:val="single"/>
          <w:lang w:eastAsia="zh-CN"/>
        </w:rPr>
      </w:pPr>
      <w:r>
        <w:rPr>
          <w:rFonts w:ascii="楷体" w:hAnsi="楷体" w:eastAsia="楷体"/>
          <w:b/>
          <w:w w:val="95"/>
          <w:sz w:val="28"/>
          <w:szCs w:val="32"/>
          <w:lang w:eastAsia="zh-CN"/>
        </w:rPr>
        <w:t>项目名称：</w:t>
      </w:r>
      <w:r>
        <w:rPr>
          <w:rFonts w:hint="eastAsia" w:ascii="楷体" w:hAnsi="楷体" w:eastAsia="楷体"/>
          <w:b/>
          <w:sz w:val="28"/>
          <w:szCs w:val="32"/>
          <w:u w:val="single"/>
          <w:lang w:eastAsia="zh-CN"/>
        </w:rPr>
        <w:t>深圳市深汕特别合作区水库、河道管养劳务外包</w:t>
      </w:r>
    </w:p>
    <w:p>
      <w:pPr>
        <w:ind w:left="620" w:firstLine="1405" w:firstLineChars="500"/>
        <w:rPr>
          <w:rFonts w:ascii="楷体" w:hAnsi="楷体" w:eastAsia="楷体"/>
          <w:b/>
          <w:sz w:val="28"/>
          <w:szCs w:val="32"/>
          <w:u w:val="single"/>
          <w:lang w:eastAsia="zh-CN"/>
        </w:rPr>
      </w:pPr>
      <w:r>
        <w:rPr>
          <w:rFonts w:hint="eastAsia" w:ascii="楷体" w:hAnsi="楷体" w:eastAsia="楷体"/>
          <w:b/>
          <w:sz w:val="28"/>
          <w:szCs w:val="32"/>
          <w:u w:val="single"/>
          <w:lang w:eastAsia="zh-CN"/>
        </w:rPr>
        <w:t xml:space="preserve">项目（2022至2023年度）（五标段） </w:t>
      </w:r>
      <w:r>
        <w:rPr>
          <w:rFonts w:ascii="楷体" w:hAnsi="楷体" w:eastAsia="楷体"/>
          <w:b/>
          <w:sz w:val="28"/>
          <w:szCs w:val="32"/>
          <w:u w:val="single"/>
          <w:lang w:eastAsia="zh-CN"/>
        </w:rPr>
        <w:t xml:space="preserve">     </w:t>
      </w:r>
    </w:p>
    <w:p>
      <w:pPr>
        <w:tabs>
          <w:tab w:val="left" w:pos="6812"/>
        </w:tabs>
        <w:spacing w:before="62"/>
        <w:ind w:left="620"/>
        <w:rPr>
          <w:rFonts w:ascii="楷体" w:hAnsi="楷体" w:eastAsia="楷体"/>
          <w:b/>
          <w:sz w:val="28"/>
          <w:szCs w:val="32"/>
          <w:lang w:eastAsia="zh-CN"/>
        </w:rPr>
      </w:pPr>
      <w:r>
        <w:rPr>
          <w:rFonts w:ascii="楷体" w:hAnsi="楷体" w:eastAsia="楷体"/>
          <w:b/>
          <w:w w:val="95"/>
          <w:sz w:val="28"/>
          <w:szCs w:val="32"/>
          <w:lang w:eastAsia="zh-CN"/>
        </w:rPr>
        <w:t>项目地点：</w:t>
      </w:r>
      <w:r>
        <w:rPr>
          <w:rFonts w:ascii="楷体" w:hAnsi="楷体" w:eastAsia="楷体"/>
          <w:b/>
          <w:w w:val="95"/>
          <w:sz w:val="28"/>
          <w:szCs w:val="32"/>
          <w:u w:val="single"/>
          <w:lang w:eastAsia="zh-CN"/>
        </w:rPr>
        <w:t>深圳市深汕特别合作区</w:t>
      </w:r>
      <w:r>
        <w:rPr>
          <w:rFonts w:hint="eastAsia" w:ascii="楷体" w:hAnsi="楷体" w:eastAsia="楷体"/>
          <w:b/>
          <w:w w:val="95"/>
          <w:sz w:val="28"/>
          <w:szCs w:val="32"/>
          <w:u w:val="single"/>
          <w:lang w:eastAsia="zh-CN"/>
        </w:rPr>
        <w:t xml:space="preserve"> </w:t>
      </w:r>
      <w:r>
        <w:rPr>
          <w:rFonts w:ascii="楷体" w:hAnsi="楷体" w:eastAsia="楷体"/>
          <w:b/>
          <w:w w:val="95"/>
          <w:sz w:val="28"/>
          <w:szCs w:val="32"/>
          <w:u w:val="single"/>
          <w:lang w:eastAsia="zh-CN"/>
        </w:rPr>
        <w:t xml:space="preserve">                </w:t>
      </w:r>
    </w:p>
    <w:p>
      <w:pPr>
        <w:tabs>
          <w:tab w:val="left" w:pos="6806"/>
        </w:tabs>
        <w:spacing w:before="62"/>
        <w:ind w:left="620"/>
        <w:rPr>
          <w:rFonts w:ascii="楷体" w:hAnsi="楷体" w:eastAsia="楷体"/>
          <w:b/>
          <w:sz w:val="28"/>
          <w:szCs w:val="32"/>
          <w:lang w:eastAsia="zh-CN"/>
        </w:rPr>
      </w:pPr>
      <w:r>
        <w:rPr>
          <w:rFonts w:ascii="楷体" w:hAnsi="楷体" w:eastAsia="楷体"/>
          <w:b/>
          <w:sz w:val="28"/>
          <w:szCs w:val="32"/>
          <w:lang w:eastAsia="zh-CN"/>
        </w:rPr>
        <w:t>发包人</w:t>
      </w:r>
      <w:r>
        <w:rPr>
          <w:rFonts w:hint="eastAsia" w:ascii="楷体" w:hAnsi="楷体" w:eastAsia="楷体"/>
          <w:b/>
          <w:sz w:val="28"/>
          <w:szCs w:val="32"/>
          <w:lang w:eastAsia="zh-CN"/>
        </w:rPr>
        <w:t xml:space="preserve"> </w:t>
      </w:r>
      <w:r>
        <w:rPr>
          <w:rFonts w:ascii="楷体" w:hAnsi="楷体" w:eastAsia="楷体"/>
          <w:b/>
          <w:sz w:val="28"/>
          <w:szCs w:val="32"/>
          <w:lang w:eastAsia="zh-CN"/>
        </w:rPr>
        <w:t>：</w:t>
      </w:r>
      <w:r>
        <w:rPr>
          <w:rFonts w:hint="eastAsia" w:ascii="楷体" w:hAnsi="楷体" w:eastAsia="楷体"/>
          <w:b/>
          <w:sz w:val="28"/>
          <w:szCs w:val="32"/>
          <w:u w:val="single"/>
          <w:lang w:eastAsia="zh-CN"/>
        </w:rPr>
        <w:t>深圳市深汕特别合作区深水水务有限公司</w:t>
      </w:r>
    </w:p>
    <w:p>
      <w:pPr>
        <w:tabs>
          <w:tab w:val="left" w:pos="6945"/>
        </w:tabs>
        <w:spacing w:before="61"/>
        <w:ind w:left="620"/>
        <w:rPr>
          <w:rFonts w:ascii="楷体" w:hAnsi="楷体" w:eastAsia="楷体"/>
          <w:b/>
          <w:sz w:val="28"/>
          <w:szCs w:val="32"/>
          <w:lang w:eastAsia="zh-CN"/>
        </w:rPr>
      </w:pPr>
      <w:r>
        <w:rPr>
          <w:rFonts w:ascii="楷体" w:hAnsi="楷体" w:eastAsia="楷体"/>
          <w:b/>
          <w:sz w:val="28"/>
          <w:szCs w:val="32"/>
          <w:lang w:eastAsia="zh-CN"/>
        </w:rPr>
        <w:t>承包人</w:t>
      </w:r>
      <w:r>
        <w:rPr>
          <w:rFonts w:hint="eastAsia" w:ascii="楷体" w:hAnsi="楷体" w:eastAsia="楷体"/>
          <w:b/>
          <w:sz w:val="28"/>
          <w:szCs w:val="32"/>
          <w:lang w:eastAsia="zh-CN"/>
        </w:rPr>
        <w:t xml:space="preserve"> </w:t>
      </w:r>
      <w:r>
        <w:rPr>
          <w:rFonts w:ascii="楷体" w:hAnsi="楷体" w:eastAsia="楷体"/>
          <w:b/>
          <w:sz w:val="28"/>
          <w:szCs w:val="32"/>
          <w:lang w:eastAsia="zh-CN"/>
        </w:rPr>
        <w:t>：</w:t>
      </w:r>
      <w:r>
        <w:rPr>
          <w:rFonts w:hint="eastAsia" w:ascii="楷体" w:hAnsi="楷体" w:eastAsia="楷体"/>
          <w:b/>
          <w:sz w:val="28"/>
          <w:szCs w:val="32"/>
          <w:u w:val="single"/>
          <w:lang w:eastAsia="zh-CN"/>
        </w:rPr>
        <w:t xml:space="preserve">XX公司 </w:t>
      </w:r>
      <w:r>
        <w:rPr>
          <w:rFonts w:ascii="楷体" w:hAnsi="楷体" w:eastAsia="楷体"/>
          <w:b/>
          <w:sz w:val="28"/>
          <w:szCs w:val="32"/>
          <w:u w:val="single"/>
          <w:lang w:eastAsia="zh-CN"/>
        </w:rPr>
        <w:t xml:space="preserve">   </w:t>
      </w:r>
    </w:p>
    <w:p>
      <w:pPr>
        <w:tabs>
          <w:tab w:val="left" w:pos="3856"/>
          <w:tab w:val="left" w:pos="7213"/>
        </w:tabs>
        <w:spacing w:before="62"/>
        <w:ind w:left="620"/>
        <w:rPr>
          <w:rFonts w:ascii="楷体" w:hAnsi="楷体" w:eastAsia="楷体"/>
          <w:b/>
          <w:sz w:val="28"/>
          <w:szCs w:val="32"/>
          <w:u w:val="single"/>
          <w:lang w:eastAsia="zh-CN"/>
        </w:rPr>
      </w:pPr>
      <w:r>
        <w:rPr>
          <w:rFonts w:ascii="楷体" w:hAnsi="楷体" w:eastAsia="楷体"/>
          <w:b/>
          <w:w w:val="95"/>
          <w:sz w:val="28"/>
          <w:szCs w:val="32"/>
          <w:lang w:eastAsia="zh-CN"/>
        </w:rPr>
        <w:t>签订日期：</w:t>
      </w:r>
      <w:r>
        <w:rPr>
          <w:rFonts w:hint="eastAsia" w:ascii="楷体" w:hAnsi="楷体" w:eastAsia="楷体"/>
          <w:b/>
          <w:w w:val="95"/>
          <w:sz w:val="28"/>
          <w:szCs w:val="32"/>
          <w:u w:val="single"/>
          <w:lang w:eastAsia="zh-CN"/>
        </w:rPr>
        <w:t xml:space="preserve"> </w:t>
      </w:r>
      <w:r>
        <w:rPr>
          <w:rFonts w:ascii="楷体" w:hAnsi="楷体" w:eastAsia="楷体"/>
          <w:b/>
          <w:w w:val="95"/>
          <w:sz w:val="28"/>
          <w:szCs w:val="32"/>
          <w:u w:val="single"/>
          <w:lang w:eastAsia="zh-CN"/>
        </w:rPr>
        <w:t xml:space="preserve">      </w:t>
      </w:r>
      <w:r>
        <w:rPr>
          <w:rFonts w:ascii="楷体" w:hAnsi="楷体" w:eastAsia="楷体"/>
          <w:b/>
          <w:sz w:val="28"/>
          <w:szCs w:val="32"/>
          <w:u w:val="single"/>
          <w:lang w:eastAsia="zh-CN"/>
        </w:rPr>
        <w:t>年</w:t>
      </w:r>
      <w:r>
        <w:rPr>
          <w:rFonts w:hint="eastAsia" w:ascii="楷体" w:hAnsi="楷体" w:eastAsia="楷体"/>
          <w:b/>
          <w:sz w:val="28"/>
          <w:szCs w:val="32"/>
          <w:u w:val="single"/>
          <w:lang w:eastAsia="zh-CN"/>
        </w:rPr>
        <w:t xml:space="preserve"> </w:t>
      </w:r>
      <w:r>
        <w:rPr>
          <w:rFonts w:ascii="楷体" w:hAnsi="楷体" w:eastAsia="楷体"/>
          <w:b/>
          <w:sz w:val="28"/>
          <w:szCs w:val="32"/>
          <w:u w:val="single"/>
          <w:lang w:eastAsia="zh-CN"/>
        </w:rPr>
        <w:t xml:space="preserve">    月</w:t>
      </w:r>
      <w:r>
        <w:rPr>
          <w:rFonts w:hint="eastAsia" w:ascii="楷体" w:hAnsi="楷体" w:eastAsia="楷体"/>
          <w:b/>
          <w:sz w:val="28"/>
          <w:szCs w:val="32"/>
          <w:u w:val="single"/>
          <w:lang w:eastAsia="zh-CN"/>
        </w:rPr>
        <w:t xml:space="preserve"> </w:t>
      </w:r>
      <w:r>
        <w:rPr>
          <w:rFonts w:ascii="楷体" w:hAnsi="楷体" w:eastAsia="楷体"/>
          <w:b/>
          <w:sz w:val="28"/>
          <w:szCs w:val="32"/>
          <w:u w:val="single"/>
          <w:lang w:eastAsia="zh-CN"/>
        </w:rPr>
        <w:t xml:space="preserve">    日</w:t>
      </w:r>
      <w:r>
        <w:rPr>
          <w:rFonts w:hint="eastAsia" w:ascii="楷体" w:hAnsi="楷体" w:eastAsia="楷体"/>
          <w:b/>
          <w:sz w:val="28"/>
          <w:szCs w:val="32"/>
          <w:u w:val="single"/>
          <w:lang w:eastAsia="zh-CN"/>
        </w:rPr>
        <w:t xml:space="preserve"> </w:t>
      </w:r>
      <w:r>
        <w:rPr>
          <w:rFonts w:ascii="楷体" w:hAnsi="楷体" w:eastAsia="楷体"/>
          <w:b/>
          <w:sz w:val="28"/>
          <w:szCs w:val="32"/>
          <w:u w:val="single"/>
          <w:lang w:eastAsia="zh-CN"/>
        </w:rPr>
        <w:t xml:space="preserve">          </w:t>
      </w:r>
    </w:p>
    <w:p>
      <w:pPr>
        <w:spacing w:before="312" w:beforeLines="100" w:after="240"/>
        <w:outlineLvl w:val="0"/>
        <w:rPr>
          <w:rFonts w:ascii="宋体" w:hAnsi="宋体"/>
          <w:b/>
          <w:sz w:val="28"/>
          <w:lang w:eastAsia="zh-CN"/>
        </w:rPr>
      </w:pPr>
      <w:r>
        <w:rPr>
          <w:rFonts w:ascii="宋体" w:hAnsi="宋体"/>
          <w:sz w:val="28"/>
          <w:lang w:eastAsia="zh-CN"/>
        </w:rPr>
        <w:t>发包人</w:t>
      </w:r>
      <w:r>
        <w:rPr>
          <w:rFonts w:hint="eastAsia" w:ascii="宋体" w:hAnsi="宋体"/>
          <w:b/>
          <w:sz w:val="28"/>
          <w:lang w:eastAsia="zh-CN"/>
        </w:rPr>
        <w:t>：</w:t>
      </w:r>
      <w:r>
        <w:rPr>
          <w:rFonts w:hint="eastAsia" w:ascii="宋体" w:hAnsi="宋体"/>
          <w:b/>
          <w:sz w:val="28"/>
          <w:u w:val="single"/>
          <w:lang w:eastAsia="zh-CN"/>
        </w:rPr>
        <w:t>深圳市深汕特别合作区深水水务有限公司</w:t>
      </w:r>
    </w:p>
    <w:p>
      <w:pPr>
        <w:spacing w:before="312" w:beforeLines="100" w:after="240"/>
        <w:outlineLvl w:val="0"/>
        <w:rPr>
          <w:rFonts w:ascii="宋体" w:hAnsi="宋体"/>
          <w:b/>
          <w:sz w:val="28"/>
          <w:lang w:eastAsia="zh-CN"/>
        </w:rPr>
      </w:pPr>
      <w:r>
        <w:rPr>
          <w:rFonts w:ascii="宋体" w:hAnsi="宋体"/>
          <w:sz w:val="28"/>
          <w:lang w:eastAsia="zh-CN"/>
        </w:rPr>
        <w:t>承包人</w:t>
      </w:r>
      <w:r>
        <w:rPr>
          <w:rFonts w:hint="eastAsia" w:ascii="宋体" w:hAnsi="宋体"/>
          <w:b/>
          <w:sz w:val="28"/>
          <w:lang w:eastAsia="zh-CN"/>
        </w:rPr>
        <w:t>：</w:t>
      </w:r>
      <w:r>
        <w:rPr>
          <w:rFonts w:hint="eastAsia" w:ascii="宋体" w:hAnsi="宋体"/>
          <w:b/>
          <w:sz w:val="28"/>
          <w:u w:val="single"/>
          <w:lang w:eastAsia="zh-CN"/>
        </w:rPr>
        <w:t>XX公司</w:t>
      </w:r>
    </w:p>
    <w:p>
      <w:pPr>
        <w:pStyle w:val="2"/>
        <w:spacing w:line="360" w:lineRule="auto"/>
        <w:ind w:firstLine="480" w:firstLineChars="200"/>
      </w:pPr>
      <w:r>
        <w:rPr>
          <w:rFonts w:hint="eastAsia"/>
        </w:rPr>
        <w:t>为了进一步贯彻落实“安全第一、预防为主”的安全生产方针，严格执行劳动保护和安全生产的法令、法规，强化安全生产管理，落实安全生产责任制，从严治理管养项目现场，确保项目中管养人员的安全与健康，促进项目顺利进行，依照《中华人民共和国合同法》、《中华人民共和国安全生产法》、《建设工程安全生产管理条例》、《深圳经济特区质量管理条例》、《深圳市建设工程现场文明施工管理办法》及其他有关法律、法规、规章，并结合</w:t>
      </w:r>
      <w:r>
        <w:rPr>
          <w:rFonts w:hint="eastAsia"/>
          <w:b/>
          <w:u w:val="single"/>
        </w:rPr>
        <w:t>深圳市深汕特别合作区深水水务有限公司</w:t>
      </w:r>
      <w:r>
        <w:rPr>
          <w:rFonts w:hint="eastAsia"/>
        </w:rPr>
        <w:t>（以下简称甲方）有关项目管理规定及各管养项目的具体情况，遵循平等、自愿、公平和诚实信用的原则，安全生产管理标准及职责事项与</w:t>
      </w:r>
      <w:r>
        <w:rPr>
          <w:rFonts w:hint="eastAsia"/>
          <w:b/>
          <w:u w:val="single"/>
          <w:lang w:val="en-US"/>
        </w:rPr>
        <w:t>XX</w:t>
      </w:r>
      <w:r>
        <w:rPr>
          <w:rFonts w:hint="eastAsia"/>
          <w:b/>
          <w:u w:val="single"/>
        </w:rPr>
        <w:t>公司</w:t>
      </w:r>
      <w:r>
        <w:rPr>
          <w:rFonts w:hint="eastAsia"/>
        </w:rPr>
        <w:t>（以下简称乙方）协商一致，订立本协议。</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一</w:t>
      </w:r>
      <w:r>
        <w:rPr>
          <w:rFonts w:ascii="黑体" w:hAnsi="黑体" w:eastAsia="黑体"/>
          <w:b/>
          <w:sz w:val="28"/>
          <w:lang w:eastAsia="zh-CN"/>
        </w:rPr>
        <w:t xml:space="preserve">条 </w:t>
      </w:r>
      <w:r>
        <w:rPr>
          <w:rFonts w:hint="eastAsia" w:ascii="黑体" w:hAnsi="黑体" w:eastAsia="黑体"/>
          <w:b/>
          <w:sz w:val="28"/>
          <w:lang w:eastAsia="zh-CN"/>
        </w:rPr>
        <w:t>安全</w:t>
      </w:r>
      <w:r>
        <w:rPr>
          <w:rFonts w:ascii="黑体" w:hAnsi="黑体" w:eastAsia="黑体"/>
          <w:b/>
          <w:sz w:val="28"/>
          <w:lang w:eastAsia="zh-CN"/>
        </w:rPr>
        <w:t>管理目标</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1、杜绝重大安全事故，工亡事故为零；</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2、五人以上重伤事故为零，五人及以下重伤或四人及以上轻伤年度内不超过一次；</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3、现场内的安全隐患整改率必须保证在时限内达到100%，杜绝现场重大隐患的出现；</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4、杜绝发生环境污染投诉事件；</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5、杜绝发生10人以上的食物中毒事故；杜绝发生3人以上同一种职业病因引起的职业病；不发生重大中毒事故以及群发性传染病。</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二</w:t>
      </w:r>
      <w:r>
        <w:rPr>
          <w:rFonts w:ascii="黑体" w:hAnsi="黑体" w:eastAsia="黑体"/>
          <w:b/>
          <w:sz w:val="28"/>
          <w:lang w:eastAsia="zh-CN"/>
        </w:rPr>
        <w:t xml:space="preserve">条 </w:t>
      </w:r>
      <w:r>
        <w:rPr>
          <w:rFonts w:hint="eastAsia" w:ascii="黑体" w:hAnsi="黑体" w:eastAsia="黑体"/>
          <w:b/>
          <w:sz w:val="28"/>
          <w:lang w:eastAsia="zh-CN"/>
        </w:rPr>
        <w:t>甲方职责</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1、项目启动前，应告知乙方可能遇到的主要危险及必须遵守的安全规范。</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2、负责监督检查乙方安全生产组织机构的建立，专职安全管理人员的配备，安全管理目标分解落实情况。</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3、对乙方各级人员安全生产责任制的落实，安全规章制度执行等情况进行监督检查。</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4、根据国家、地方、集团有关标准、规范及项目的具体情况，甲方项目负责人、现场工程师、安全员可以对乙方人所承包项目的质量、安全生产等进行定期不定期的监督、检查，并做到公平、公正、公开，及时提出乙方存在的问题。</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每次质量、安全检查纪录均由甲方项目负责人、现场工程师、乙方项目负责人联合确认；如发现违规操作立即停止并进行整改；质量、安全检查结果及整改进度在例会上进行通报，并纪录在会议纪要中。</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三</w:t>
      </w:r>
      <w:r>
        <w:rPr>
          <w:rFonts w:ascii="黑体" w:hAnsi="黑体" w:eastAsia="黑体"/>
          <w:b/>
          <w:sz w:val="28"/>
          <w:lang w:eastAsia="zh-CN"/>
        </w:rPr>
        <w:t xml:space="preserve">条 </w:t>
      </w:r>
      <w:r>
        <w:rPr>
          <w:rFonts w:hint="eastAsia" w:ascii="黑体" w:hAnsi="黑体" w:eastAsia="黑体"/>
          <w:b/>
          <w:sz w:val="28"/>
          <w:lang w:eastAsia="zh-CN"/>
        </w:rPr>
        <w:t>乙方职责</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1、管养项目全过程应遵守国家、地方标准、规范，遵守甲方制定的有关制度及规定，随时接受甲方的监督检查，并为监督检查提供便利条件，及时整改甲方提出的问题。</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2、自觉接受甲方及有关政府部门的工作人员对现场施工安全的监督。</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3、有较为稳定的管养人员队伍、较强的技术力量。对特殊工种人员均要求持证上岗。</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4、遵守管养项目安全生产有关管理规定，严格按安全标准实施管养，并随时接受行业安全检查人员依法实施的监督检查，采取必要的安全防护措施，消除事故隐患。</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5、遵守有关环境保护和安全生产方面的法律、法规的规定，不得采取对管养区域环境造成污染和危害的措施。</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6、坚持安全技术交底，从项目技术负责人、专职安全员、管养队长到每个管养人员，逐级进行安全技术交底，保证管养范围文明整洁，消除安全隐患。</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7、涉电作业、动火作业、井下作业及高空作业承包人必须实行许可证制度，作业前告知作业人员可能存在的危险，并加于防范，以把危险降到最低。</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8、管养区域及仓库的物资应分区堆放整齐，注意防火灾防触电；施工电源必须采用三相五线制；用电、配电设备的金属外壳必须设接地（接零）保护，接地电阻应符合规范要求；应按规定装设漏电保护器且漏电保护器须外观完好、动作可靠；施工现场配电箱及照明设施必须具有防水功能，配电箱安装牢靠且柜门必须关闭。</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9、文明施工、安全施工。各管养工作前，必须为乙方自有的全部人员生命财产办理保险，并为从事危险作业的职工办理意外伤害保险，支付保险费用。</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0</w:t>
      </w:r>
      <w:r>
        <w:rPr>
          <w:rFonts w:hint="eastAsia" w:ascii="宋体" w:hAnsi="宋体" w:cs="宋体"/>
          <w:sz w:val="24"/>
          <w:szCs w:val="24"/>
          <w:lang w:val="zh-CN" w:eastAsia="zh-CN" w:bidi="zh-CN"/>
        </w:rPr>
        <w:t>、因施工需要，搭设临时工棚必须遵守国家及深圳市有关规定，做到安全、卫生、文明，生活设施齐备，消防设施符合有关规定，充分考虑自然条件可能对临时工棚带来的安全隐患。</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1</w:t>
      </w:r>
      <w:r>
        <w:rPr>
          <w:rFonts w:hint="eastAsia" w:ascii="宋体" w:hAnsi="宋体" w:cs="宋体"/>
          <w:sz w:val="24"/>
          <w:szCs w:val="24"/>
          <w:lang w:val="zh-CN" w:eastAsia="zh-CN" w:bidi="zh-CN"/>
        </w:rPr>
        <w:t>、为其全部员工签订劳动合同等手续，并负责购买社会、工伤保险。</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2</w:t>
      </w:r>
      <w:r>
        <w:rPr>
          <w:rFonts w:hint="eastAsia" w:ascii="宋体" w:hAnsi="宋体" w:cs="宋体"/>
          <w:sz w:val="24"/>
          <w:szCs w:val="24"/>
          <w:lang w:val="zh-CN" w:eastAsia="zh-CN" w:bidi="zh-CN"/>
        </w:rPr>
        <w:t>、乙方承诺清正廉洁，保证不行贿甲方任何部门、任何员工。</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3</w:t>
      </w:r>
      <w:r>
        <w:rPr>
          <w:rFonts w:hint="eastAsia" w:ascii="宋体" w:hAnsi="宋体" w:cs="宋体"/>
          <w:sz w:val="24"/>
          <w:szCs w:val="24"/>
          <w:lang w:val="zh-CN" w:eastAsia="zh-CN" w:bidi="zh-CN"/>
        </w:rPr>
        <w:t>、执行下列安全管理制度：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（1）安全技术方案制度：乙方必须编制安全技术方案及各单项作业安全防护措施，须报甲方审批后方可执行，若改变原方案必须重新报批；</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（2）执行各级安全教育培训以及持证上岗制度。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4</w:t>
      </w:r>
      <w:r>
        <w:rPr>
          <w:rFonts w:hint="eastAsia" w:ascii="宋体" w:hAnsi="宋体" w:cs="宋体"/>
          <w:sz w:val="24"/>
          <w:szCs w:val="24"/>
          <w:lang w:val="zh-CN" w:eastAsia="zh-CN" w:bidi="zh-CN"/>
        </w:rPr>
        <w:t>、培训、持证上岗：</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（1）乙方项目负责人须接受安全培训、考试合格后办理安全资格审查认可证后方可上岗；</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（2）乙方的项目负责人以及各安全员须接受安全技术培训、参加安全年审考核，合格者办理《安全生产资格证书》，持证上岗；</w:t>
      </w:r>
    </w:p>
    <w:p>
      <w:pPr>
        <w:spacing w:after="0" w:line="360" w:lineRule="auto"/>
        <w:ind w:firstLine="480" w:firstLineChars="200"/>
        <w:jc w:val="both"/>
        <w:rPr>
          <w:rFonts w:ascii="宋体" w:hAnsi="宋体" w:cs="宋体"/>
          <w:sz w:val="24"/>
          <w:szCs w:val="24"/>
          <w:lang w:eastAsia="zh-CN" w:bidi="zh-CN"/>
        </w:rPr>
      </w:pPr>
      <w:r>
        <w:rPr>
          <w:rFonts w:hint="eastAsia" w:ascii="宋体" w:hAnsi="宋体" w:cs="宋体"/>
          <w:sz w:val="24"/>
          <w:szCs w:val="24"/>
          <w:lang w:val="zh-CN" w:eastAsia="zh-CN" w:bidi="zh-CN"/>
        </w:rPr>
        <w:t>（</w:t>
      </w:r>
      <w:r>
        <w:rPr>
          <w:rFonts w:hint="eastAsia" w:ascii="宋体" w:hAnsi="宋体" w:cs="宋体"/>
          <w:sz w:val="24"/>
          <w:szCs w:val="24"/>
          <w:lang w:eastAsia="zh-CN" w:bidi="zh-CN"/>
        </w:rPr>
        <w:t>3</w:t>
      </w:r>
      <w:r>
        <w:rPr>
          <w:rFonts w:hint="eastAsia" w:ascii="宋体" w:hAnsi="宋体" w:cs="宋体"/>
          <w:sz w:val="24"/>
          <w:szCs w:val="24"/>
          <w:lang w:val="zh-CN" w:eastAsia="zh-CN" w:bidi="zh-CN"/>
        </w:rPr>
        <w:t>）</w:t>
      </w:r>
      <w:r>
        <w:rPr>
          <w:rFonts w:hint="eastAsia" w:ascii="宋体" w:hAnsi="宋体" w:cs="宋体"/>
          <w:sz w:val="24"/>
          <w:szCs w:val="24"/>
          <w:lang w:eastAsia="zh-CN" w:bidi="zh-CN"/>
        </w:rPr>
        <w:t>乙方的项目负责人以及安全员须组织进行每日班前安全教育，安全例会，安全分析会等，定期进行各项应急救援演练；</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w:t>
      </w:r>
      <w:r>
        <w:rPr>
          <w:rFonts w:hint="eastAsia" w:ascii="宋体" w:hAnsi="宋体" w:cs="宋体"/>
          <w:sz w:val="24"/>
          <w:szCs w:val="24"/>
          <w:lang w:eastAsia="zh-CN" w:bidi="zh-CN"/>
        </w:rPr>
        <w:t>4</w:t>
      </w:r>
      <w:r>
        <w:rPr>
          <w:rFonts w:hint="eastAsia" w:ascii="宋体" w:hAnsi="宋体" w:cs="宋体"/>
          <w:sz w:val="24"/>
          <w:szCs w:val="24"/>
          <w:lang w:val="zh-CN" w:eastAsia="zh-CN" w:bidi="zh-CN"/>
        </w:rPr>
        <w:t>）乙方管养人员入场一律接受三级安全教育，考试合格并取得“安全生产考核证”后方准进入现场施工，如果乙方的管养人员需要变动，必须提出计划报告甲方，按规定进行教育、考核合格后方可上岗；</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w:t>
      </w:r>
      <w:r>
        <w:rPr>
          <w:rFonts w:hint="eastAsia" w:ascii="宋体" w:hAnsi="宋体" w:cs="宋体"/>
          <w:sz w:val="24"/>
          <w:szCs w:val="24"/>
          <w:lang w:eastAsia="zh-CN" w:bidi="zh-CN"/>
        </w:rPr>
        <w:t>5</w:t>
      </w:r>
      <w:r>
        <w:rPr>
          <w:rFonts w:hint="eastAsia" w:ascii="宋体" w:hAnsi="宋体" w:cs="宋体"/>
          <w:sz w:val="24"/>
          <w:szCs w:val="24"/>
          <w:lang w:val="zh-CN" w:eastAsia="zh-CN" w:bidi="zh-CN"/>
        </w:rPr>
        <w:t>）乙方的特种作业人员的配置必须满足施工需要，并持有有效证件（原籍地、市级劳动部门颁发和当地劳动部门核发的特种作业临时操作证，持证上岗；</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w:t>
      </w:r>
      <w:r>
        <w:rPr>
          <w:rFonts w:hint="eastAsia" w:ascii="宋体" w:hAnsi="宋体" w:cs="宋体"/>
          <w:sz w:val="24"/>
          <w:szCs w:val="24"/>
          <w:lang w:eastAsia="zh-CN" w:bidi="zh-CN"/>
        </w:rPr>
        <w:t>6</w:t>
      </w:r>
      <w:r>
        <w:rPr>
          <w:rFonts w:hint="eastAsia" w:ascii="宋体" w:hAnsi="宋体" w:cs="宋体"/>
          <w:sz w:val="24"/>
          <w:szCs w:val="24"/>
          <w:lang w:val="zh-CN" w:eastAsia="zh-CN" w:bidi="zh-CN"/>
        </w:rPr>
        <w:t>）乙方工人变换施工现场或工种时，要进行转场和转换工种教育；</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5</w:t>
      </w:r>
      <w:r>
        <w:rPr>
          <w:rFonts w:hint="eastAsia" w:ascii="宋体" w:hAnsi="宋体" w:cs="宋体"/>
          <w:sz w:val="24"/>
          <w:szCs w:val="24"/>
          <w:lang w:val="zh-CN" w:eastAsia="zh-CN" w:bidi="zh-CN"/>
        </w:rPr>
        <w:t>、执行甲方的安全检查制度：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（1）乙方必须虚心接受甲方以及其上级主管部门和各级政府、各行业主管部门的安全生产检查，否则造成的罚款等损失均由乙方承担；</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（2）乙方必须按照甲方的要求建立自身的定期和不定期的安全生产检查制度，并且严格贯彻实施；</w:t>
      </w:r>
    </w:p>
    <w:p>
      <w:pPr>
        <w:spacing w:after="0" w:line="360" w:lineRule="auto"/>
        <w:ind w:firstLine="480" w:firstLineChars="200"/>
        <w:jc w:val="both"/>
        <w:rPr>
          <w:rFonts w:ascii="宋体" w:hAnsi="宋体" w:cs="宋体"/>
          <w:sz w:val="24"/>
          <w:szCs w:val="24"/>
          <w:lang w:eastAsia="zh-CN" w:bidi="zh-CN"/>
        </w:rPr>
      </w:pPr>
      <w:r>
        <w:rPr>
          <w:rFonts w:hint="eastAsia" w:ascii="宋体" w:hAnsi="宋体" w:cs="宋体"/>
          <w:sz w:val="24"/>
          <w:szCs w:val="24"/>
          <w:lang w:val="zh-CN" w:eastAsia="zh-CN" w:bidi="zh-CN"/>
        </w:rPr>
        <w:t>（3）乙方必须设立专职安全人员实施日常安全生产检查制度及检查制度和自检制度。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6</w:t>
      </w:r>
      <w:r>
        <w:rPr>
          <w:rFonts w:hint="eastAsia" w:ascii="宋体" w:hAnsi="宋体" w:cs="宋体"/>
          <w:sz w:val="24"/>
          <w:szCs w:val="24"/>
          <w:lang w:val="zh-CN" w:eastAsia="zh-CN" w:bidi="zh-CN"/>
        </w:rPr>
        <w:t>、乙方必须严格执行检查整改消项制度。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7</w:t>
      </w:r>
      <w:r>
        <w:rPr>
          <w:rFonts w:hint="eastAsia" w:ascii="宋体" w:hAnsi="宋体" w:cs="宋体"/>
          <w:sz w:val="24"/>
          <w:szCs w:val="24"/>
          <w:lang w:val="zh-CN" w:eastAsia="zh-CN" w:bidi="zh-CN"/>
        </w:rPr>
        <w:t>、执行个人劳动防护用品定期定量供应制度。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8</w:t>
      </w:r>
      <w:r>
        <w:rPr>
          <w:rFonts w:hint="eastAsia" w:ascii="宋体" w:hAnsi="宋体" w:cs="宋体"/>
          <w:sz w:val="24"/>
          <w:szCs w:val="24"/>
          <w:lang w:val="zh-CN" w:eastAsia="zh-CN" w:bidi="zh-CN"/>
        </w:rPr>
        <w:t>、承包人必须预防和治理职业伤害与中毒事故。</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9</w:t>
      </w:r>
      <w:r>
        <w:rPr>
          <w:rFonts w:hint="eastAsia" w:ascii="宋体" w:hAnsi="宋体" w:cs="宋体"/>
          <w:sz w:val="24"/>
          <w:szCs w:val="24"/>
          <w:lang w:val="zh-CN" w:eastAsia="zh-CN" w:bidi="zh-CN"/>
        </w:rPr>
        <w:t>、执行因工伤亡报告制度：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（1）乙方人员在现场从事管养工作过程中所发生的伤害事故为工伤事故；</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如果发生因工伤亡事故，乙方应在10分钟内，以最快捷的方式通知甲方的项目主管领导，向其报告事故的详情。由甲方通过正常渠道及时逐级上报上级有关部门，同时乙方应积极组织抢救工作采取相应的措施，保护好现场，如因抢救伤员必须移动现场设备、设施者要做好记录或拍照，乙方为抢救提供必要条件；</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（3）乙方要积极配合甲方上级部门、政府部门对事故的调查和现场勘查。凡因乙方隐瞒不报、作伪证或擅自拆毁事故现场，所造成的一切后果均由乙方承担；</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（4）乙方须承担因为乙方的原因造成的安全事故的经济责任和法律责任；</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5）如果发生因工伤亡事故，乙方应积极做好事故的善后处理工作，伤亡人员为乙方人员的，乙方应直接负责伤亡者及其家属的接待善后工作，因此发生的资金费用由乙方支付，因不能积极对事故进行善后处理而产生的一切后果由乙方自负。</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w:t>
      </w:r>
      <w:r>
        <w:rPr>
          <w:rFonts w:ascii="宋体" w:hAnsi="宋体" w:cs="宋体"/>
          <w:sz w:val="24"/>
          <w:szCs w:val="24"/>
          <w:lang w:val="zh-CN" w:eastAsia="zh-CN" w:bidi="zh-CN"/>
        </w:rPr>
        <w:t>0</w:t>
      </w:r>
      <w:r>
        <w:rPr>
          <w:rFonts w:hint="eastAsia" w:ascii="宋体" w:hAnsi="宋体" w:cs="宋体"/>
          <w:sz w:val="24"/>
          <w:szCs w:val="24"/>
          <w:lang w:val="zh-CN" w:eastAsia="zh-CN" w:bidi="zh-CN"/>
        </w:rPr>
        <w:t>、执行安全防范制度：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（1）乙方要对管养人员的安全负责；</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（2）乙方必须采取一切严密的、符合安全标准的预防措施，确保所有工作场所的安全，不得存在危及管养人员安全和健康的危险情况，并保证管养范围内所有人员或附近人员免遭可能发生的一切危险；</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（3）甲方有权要求立刻撤走管养项目内的任何没有适当理由而又不遵守、执行地方政府相关部门及行业主管部门发布的安全条例和指令的人员；</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（4）管养现场和管养人员，必须严格按国家、政府规定的安全生产、文明施工标准搞好防护工作，保证有安全可靠、卫生的工作环境，严禁违章作业、违章指挥；</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（5）对不符合安全规定的，甲方安全管理人员有权要求停工和强行整改使之达到安全标准，所须费用从工程款中加倍扣除；</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（6）凡重要劳动防护用品，必须到正规的厂家购买。包括但不限于：安全帽、安全带、安全网、漏电保护器、电焊机二次线保护器、配电箱、五芯电缆、脚手架扣件等；</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（7）乙方应给所属管养人员提供必须的和有效的安全用品，包括但不限于：安全帽、雨衣、救生衣等，若必要时还须配戴面罩、眼罩、护耳、绝缘手套等的个人人身防护设备；</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（8）乙方应在合同签约后7天内，呈送安全管理防范方案，详述将要采取的安全措施和对紧急事件处理的方案以及自身的安全管理条例，报甲方备案；</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（9）乙方制定的安全管理方案及条例的副本，由乙方编制并且分发至所有乙方的工作场所，法律要求的其他文件、标语、警示牌等物品，具体由甲方决定；</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（10）乙方应指定至少一名合格的且有经验的安全员负责安全方案和措施得到实施。</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w:t>
      </w:r>
      <w:r>
        <w:rPr>
          <w:rFonts w:ascii="宋体" w:hAnsi="宋体" w:cs="宋体"/>
          <w:sz w:val="24"/>
          <w:szCs w:val="24"/>
          <w:lang w:val="zh-CN" w:eastAsia="zh-CN" w:bidi="zh-CN"/>
        </w:rPr>
        <w:t>1</w:t>
      </w:r>
      <w:r>
        <w:rPr>
          <w:rFonts w:hint="eastAsia" w:ascii="宋体" w:hAnsi="宋体" w:cs="宋体"/>
          <w:sz w:val="24"/>
          <w:szCs w:val="24"/>
          <w:lang w:val="zh-CN" w:eastAsia="zh-CN" w:bidi="zh-CN"/>
        </w:rPr>
        <w:t>、消防保卫工作要求：</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必须认真遵守国家的有关法律、法规及建设部和当地政府、建委颁发的有关治安、消防、交通安全管理规定及条例，乙方应严格按消防保卫制度以及现场消防保卫的特殊要求组织施工，并接受甲方的安全检查，对甲方所签发的隐患整改通知，乙方应在甲方指定的期限内立即整改完毕，逾期不改或整改不符合甲方的要求，甲方有权按规定对乙方进行经济处罚；</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（2）须配备至少一名专（兼）职消防保卫管理人员，负责本单位的消防保卫工作；</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3）乙方管理以及自身防范措施不利或乙方人员责任造成的案件、火灾、交通事故（含管养范围内）等灾害事故，事故经济责任、事故法律责任以及事故的善后处理均由乙方独自承担，因此给甲方造成的经济损失由乙方负责赔偿，甲方可对其处罚。</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w:t>
      </w:r>
      <w:r>
        <w:rPr>
          <w:rFonts w:ascii="宋体" w:hAnsi="宋体" w:cs="宋体"/>
          <w:sz w:val="24"/>
          <w:szCs w:val="24"/>
          <w:lang w:val="zh-CN" w:eastAsia="zh-CN" w:bidi="zh-CN"/>
        </w:rPr>
        <w:t>2</w:t>
      </w:r>
      <w:r>
        <w:rPr>
          <w:rFonts w:hint="eastAsia" w:ascii="宋体" w:hAnsi="宋体" w:cs="宋体"/>
          <w:sz w:val="24"/>
          <w:szCs w:val="24"/>
          <w:lang w:val="zh-CN" w:eastAsia="zh-CN" w:bidi="zh-CN"/>
        </w:rPr>
        <w:t>、现场文明施工及其人员行为的管理：</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（1）遵守现场安全文明施工的各项管理规定，在管养过程中，对其全体员工的服饰、安全帽等进行统一管理；</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（2）采取一切合理的措施，防止其劳务人员发生任何违法或妨碍治安的行为，保持安定局面并且保护周围人员和财产不受上述行为的危害；</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（3）按照甲方要求建立有关文明安全施工、消防保卫、环保卫生、仓库管理和环境保护等方面的各项管理规章制度；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4）严格执行国家的法律法规，采取适当的预防措施，以保证其人员的安全、卫生、健康，在整个合同期间，自始自终在管养人员所在的现场和集中住所，配有紧急抢救人员和设备，并且采取适当的措施以预防传染病，并提供应有的福利以及卫生条件。</w:t>
      </w:r>
    </w:p>
    <w:p>
      <w:pPr>
        <w:spacing w:after="0" w:line="360" w:lineRule="auto"/>
        <w:ind w:firstLine="480" w:firstLineChars="200"/>
        <w:jc w:val="both"/>
        <w:rPr>
          <w:rFonts w:ascii="宋体" w:hAnsi="宋体" w:cs="宋体"/>
          <w:sz w:val="24"/>
          <w:szCs w:val="24"/>
          <w:lang w:eastAsia="zh-CN" w:bidi="zh-CN"/>
        </w:rPr>
      </w:pPr>
      <w:r>
        <w:rPr>
          <w:rFonts w:hint="eastAsia" w:ascii="宋体" w:hAnsi="宋体" w:cs="宋体"/>
          <w:sz w:val="24"/>
          <w:szCs w:val="24"/>
          <w:lang w:eastAsia="zh-CN" w:bidi="zh-CN"/>
        </w:rPr>
        <w:t>23、乙方的项目负责人及安全员须建立健全安全管理档案，妥善保存安全管理资料。</w:t>
      </w:r>
    </w:p>
    <w:p>
      <w:pPr>
        <w:spacing w:after="0" w:line="360" w:lineRule="auto"/>
        <w:ind w:firstLine="480" w:firstLineChars="200"/>
        <w:jc w:val="both"/>
        <w:rPr>
          <w:rFonts w:ascii="宋体" w:hAnsi="宋体" w:cs="宋体"/>
          <w:sz w:val="24"/>
          <w:szCs w:val="24"/>
          <w:lang w:eastAsia="zh-CN" w:bidi="zh-CN"/>
        </w:rPr>
      </w:pPr>
      <w:r>
        <w:rPr>
          <w:rFonts w:hint="eastAsia" w:ascii="宋体" w:hAnsi="宋体" w:cs="宋体"/>
          <w:sz w:val="24"/>
          <w:szCs w:val="24"/>
          <w:lang w:eastAsia="zh-CN" w:bidi="zh-CN"/>
        </w:rPr>
        <w:t>24、乙方的项目负责人及安全员须落实业务范围内储存、装卸、验收和使用的安全管理。</w:t>
      </w:r>
    </w:p>
    <w:p>
      <w:pPr>
        <w:spacing w:after="0" w:line="360" w:lineRule="auto"/>
        <w:ind w:firstLine="480" w:firstLineChars="200"/>
        <w:jc w:val="both"/>
        <w:rPr>
          <w:rFonts w:ascii="宋体" w:hAnsi="宋体" w:cs="宋体"/>
          <w:sz w:val="24"/>
          <w:szCs w:val="24"/>
          <w:lang w:eastAsia="zh-CN" w:bidi="zh-CN"/>
        </w:rPr>
      </w:pPr>
      <w:r>
        <w:rPr>
          <w:rFonts w:hint="eastAsia" w:ascii="宋体" w:hAnsi="宋体" w:cs="宋体"/>
          <w:sz w:val="24"/>
          <w:szCs w:val="24"/>
          <w:lang w:eastAsia="zh-CN" w:bidi="zh-CN"/>
        </w:rPr>
        <w:t>25、乙方须根据甲方要求，落实项目内的三防工作。</w:t>
      </w:r>
    </w:p>
    <w:p>
      <w:pPr>
        <w:spacing w:after="0" w:line="360" w:lineRule="auto"/>
        <w:ind w:firstLine="480" w:firstLineChars="200"/>
        <w:jc w:val="both"/>
        <w:rPr>
          <w:rFonts w:ascii="宋体" w:hAnsi="宋体" w:cs="宋体"/>
          <w:sz w:val="24"/>
          <w:szCs w:val="24"/>
          <w:lang w:eastAsia="zh-CN" w:bidi="zh-CN"/>
        </w:rPr>
      </w:pPr>
      <w:r>
        <w:rPr>
          <w:rFonts w:hint="eastAsia" w:ascii="宋体" w:hAnsi="宋体" w:cs="宋体"/>
          <w:sz w:val="24"/>
          <w:szCs w:val="24"/>
          <w:lang w:eastAsia="zh-CN" w:bidi="zh-CN"/>
        </w:rPr>
        <w:t>26、严禁酒后，服用或注射国家管制的精神药品或麻醉药品后进入作业现场。</w:t>
      </w:r>
    </w:p>
    <w:p>
      <w:pPr>
        <w:spacing w:after="0" w:line="360" w:lineRule="auto"/>
        <w:ind w:firstLine="480" w:firstLineChars="200"/>
        <w:jc w:val="both"/>
        <w:rPr>
          <w:rFonts w:ascii="宋体" w:hAnsi="宋体" w:cs="宋体"/>
          <w:sz w:val="24"/>
          <w:szCs w:val="24"/>
          <w:lang w:val="zh-CN" w:eastAsia="zh-CN" w:bidi="zh-CN"/>
        </w:rPr>
      </w:pP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四</w:t>
      </w:r>
      <w:r>
        <w:rPr>
          <w:rFonts w:ascii="黑体" w:hAnsi="黑体" w:eastAsia="黑体"/>
          <w:b/>
          <w:sz w:val="28"/>
          <w:lang w:eastAsia="zh-CN"/>
        </w:rPr>
        <w:t xml:space="preserve">条 </w:t>
      </w:r>
      <w:r>
        <w:rPr>
          <w:rFonts w:hint="eastAsia" w:ascii="黑体" w:hAnsi="黑体" w:eastAsia="黑体"/>
          <w:b/>
          <w:sz w:val="28"/>
          <w:lang w:eastAsia="zh-CN"/>
        </w:rPr>
        <w:t>责任</w:t>
      </w:r>
    </w:p>
    <w:p>
      <w:pPr>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乙方因没有严格履行上述职责或违反国家及地区的安全生产法律法规，造成安全事故发生，致使人员伤亡，乙方应承担相应的法律、经济责任，造成财产损失的，还应该赔偿相应的损失。</w:t>
      </w:r>
    </w:p>
    <w:p>
      <w:pPr>
        <w:ind w:firstLine="480" w:firstLineChars="200"/>
        <w:jc w:val="both"/>
        <w:rPr>
          <w:lang w:eastAsia="zh-CN"/>
        </w:rPr>
      </w:pPr>
      <w:r>
        <w:rPr>
          <w:rFonts w:ascii="宋体" w:hAnsi="宋体" w:cs="宋体"/>
          <w:sz w:val="24"/>
          <w:szCs w:val="24"/>
          <w:lang w:val="zh-CN" w:eastAsia="zh-CN" w:bidi="zh-CN"/>
        </w:rPr>
        <w:br w:type="page"/>
      </w:r>
      <w:r>
        <w:rPr>
          <w:rFonts w:hint="eastAsia"/>
          <w:lang w:eastAsia="zh-CN"/>
        </w:rPr>
        <w:t>以下</w:t>
      </w:r>
      <w:r>
        <w:rPr>
          <w:lang w:eastAsia="zh-CN"/>
        </w:rPr>
        <w:t>无正文，属于签字盖章页。</w:t>
      </w:r>
    </w:p>
    <w:p>
      <w:pPr>
        <w:pStyle w:val="2"/>
        <w:spacing w:after="0" w:line="360" w:lineRule="auto"/>
        <w:ind w:left="0" w:firstLine="480" w:firstLineChars="200"/>
        <w:jc w:val="both"/>
      </w:pPr>
    </w:p>
    <w:p>
      <w:pPr>
        <w:spacing w:after="0" w:line="480" w:lineRule="auto"/>
        <w:ind w:firstLine="480" w:firstLineChars="200"/>
        <w:jc w:val="both"/>
        <w:rPr>
          <w:rFonts w:ascii="宋体" w:hAnsi="宋体"/>
          <w:b/>
          <w:sz w:val="24"/>
          <w:szCs w:val="24"/>
          <w:u w:val="single"/>
          <w:lang w:eastAsia="zh-CN"/>
        </w:rPr>
      </w:pPr>
      <w:r>
        <w:rPr>
          <w:rFonts w:ascii="宋体" w:hAnsi="宋体"/>
          <w:sz w:val="24"/>
          <w:szCs w:val="24"/>
          <w:lang w:eastAsia="zh-CN"/>
        </w:rPr>
        <w:t>甲方（盖章）：</w:t>
      </w:r>
      <w:r>
        <w:rPr>
          <w:rFonts w:hint="eastAsia" w:ascii="宋体" w:hAnsi="宋体"/>
          <w:b/>
          <w:sz w:val="24"/>
          <w:szCs w:val="24"/>
          <w:u w:val="single"/>
          <w:lang w:eastAsia="zh-CN"/>
        </w:rPr>
        <w:t>深圳市深汕特别合作区深水水务有限公司</w:t>
      </w:r>
    </w:p>
    <w:p>
      <w:pPr>
        <w:pStyle w:val="2"/>
        <w:spacing w:after="0" w:line="480" w:lineRule="auto"/>
        <w:ind w:left="0" w:firstLine="480" w:firstLineChars="200"/>
        <w:jc w:val="both"/>
      </w:pPr>
      <w:r>
        <w:t>法定代表人</w:t>
      </w:r>
      <w:r>
        <w:rPr>
          <w:rFonts w:hint="eastAsia"/>
        </w:rPr>
        <w:t>：</w:t>
      </w:r>
    </w:p>
    <w:p>
      <w:pPr>
        <w:pStyle w:val="2"/>
        <w:spacing w:after="0" w:line="480" w:lineRule="auto"/>
        <w:ind w:left="0" w:firstLine="480" w:firstLineChars="200"/>
        <w:jc w:val="both"/>
      </w:pPr>
      <w:r>
        <w:t>或其授权代表（签</w:t>
      </w:r>
      <w:r>
        <w:rPr>
          <w:rFonts w:hint="eastAsia"/>
        </w:rPr>
        <w:t>章</w:t>
      </w:r>
      <w:r>
        <w:t>）：</w:t>
      </w:r>
    </w:p>
    <w:p>
      <w:pPr>
        <w:pStyle w:val="2"/>
        <w:spacing w:after="0" w:line="480" w:lineRule="auto"/>
        <w:ind w:left="0" w:firstLine="480" w:firstLineChars="200"/>
        <w:jc w:val="both"/>
      </w:pPr>
      <w:r>
        <w:t>通讯地址：</w:t>
      </w:r>
      <w:r>
        <w:rPr>
          <w:rFonts w:hint="eastAsia"/>
          <w:u w:val="single"/>
        </w:rPr>
        <w:t xml:space="preserve">          </w:t>
      </w:r>
      <w:r>
        <w:rPr>
          <w:u w:val="single"/>
        </w:rPr>
        <w:t xml:space="preserve">                </w:t>
      </w:r>
      <w:r>
        <w:rPr>
          <w:rFonts w:hint="eastAsia"/>
          <w:u w:val="single"/>
        </w:rPr>
        <w:t xml:space="preserve"> </w:t>
      </w:r>
    </w:p>
    <w:p>
      <w:pPr>
        <w:pStyle w:val="2"/>
        <w:spacing w:after="0" w:line="480" w:lineRule="auto"/>
        <w:ind w:left="0" w:firstLine="480" w:firstLineChars="200"/>
        <w:jc w:val="both"/>
      </w:pPr>
      <w:r>
        <w:t>电话</w:t>
      </w:r>
      <w:r>
        <w:rPr>
          <w:b/>
        </w:rPr>
        <w:t>/</w:t>
      </w:r>
      <w:r>
        <w:t>传真：</w:t>
      </w:r>
      <w:r>
        <w:rPr>
          <w:rFonts w:hint="eastAsia"/>
          <w:u w:val="single"/>
        </w:rPr>
        <w:t xml:space="preserve">         </w:t>
      </w:r>
      <w:r>
        <w:rPr>
          <w:u w:val="single"/>
        </w:rPr>
        <w:t xml:space="preserve">               </w:t>
      </w:r>
      <w:r>
        <w:rPr>
          <w:rFonts w:hint="eastAsia"/>
          <w:u w:val="single"/>
        </w:rPr>
        <w:t xml:space="preserve">  </w:t>
      </w:r>
    </w:p>
    <w:p>
      <w:pPr>
        <w:spacing w:after="0" w:line="360" w:lineRule="auto"/>
        <w:ind w:firstLine="480" w:firstLineChars="200"/>
        <w:jc w:val="both"/>
        <w:rPr>
          <w:rFonts w:ascii="宋体" w:hAnsi="宋体"/>
          <w:sz w:val="24"/>
          <w:szCs w:val="24"/>
          <w:lang w:eastAsia="zh-CN"/>
        </w:rPr>
      </w:pPr>
    </w:p>
    <w:p>
      <w:pPr>
        <w:spacing w:after="0" w:line="360" w:lineRule="auto"/>
        <w:ind w:firstLine="480" w:firstLineChars="200"/>
        <w:jc w:val="both"/>
        <w:rPr>
          <w:rFonts w:ascii="宋体" w:hAnsi="宋体"/>
          <w:sz w:val="24"/>
          <w:szCs w:val="24"/>
          <w:lang w:eastAsia="zh-CN"/>
        </w:rPr>
      </w:pPr>
    </w:p>
    <w:p>
      <w:pPr>
        <w:spacing w:after="0" w:line="480" w:lineRule="auto"/>
        <w:ind w:firstLine="480" w:firstLineChars="200"/>
        <w:jc w:val="both"/>
        <w:rPr>
          <w:rFonts w:ascii="宋体" w:hAnsi="宋体"/>
          <w:b/>
          <w:sz w:val="24"/>
          <w:szCs w:val="24"/>
          <w:u w:val="single"/>
          <w:lang w:eastAsia="zh-CN"/>
        </w:rPr>
      </w:pPr>
      <w:r>
        <w:rPr>
          <w:rFonts w:ascii="宋体" w:hAnsi="宋体"/>
          <w:sz w:val="24"/>
          <w:szCs w:val="24"/>
          <w:lang w:eastAsia="zh-CN"/>
        </w:rPr>
        <w:t>乙方（盖章）：</w:t>
      </w:r>
      <w:r>
        <w:rPr>
          <w:rFonts w:hint="eastAsia" w:ascii="宋体" w:hAnsi="宋体"/>
          <w:b/>
          <w:sz w:val="24"/>
          <w:szCs w:val="24"/>
          <w:u w:val="single"/>
          <w:lang w:eastAsia="zh-CN"/>
        </w:rPr>
        <w:t>XX公司</w:t>
      </w:r>
    </w:p>
    <w:p>
      <w:pPr>
        <w:pStyle w:val="2"/>
        <w:spacing w:after="0" w:line="480" w:lineRule="auto"/>
        <w:ind w:left="0" w:firstLine="480" w:firstLineChars="200"/>
        <w:jc w:val="both"/>
      </w:pPr>
      <w:r>
        <w:t>法定代表人</w:t>
      </w:r>
      <w:r>
        <w:rPr>
          <w:rFonts w:hint="eastAsia"/>
        </w:rPr>
        <w:t>：</w:t>
      </w:r>
    </w:p>
    <w:p>
      <w:pPr>
        <w:pStyle w:val="2"/>
        <w:spacing w:after="0" w:line="480" w:lineRule="auto"/>
        <w:ind w:left="0" w:firstLine="480" w:firstLineChars="200"/>
        <w:jc w:val="both"/>
      </w:pPr>
      <w:r>
        <w:t>或其授权代表（签</w:t>
      </w:r>
      <w:r>
        <w:rPr>
          <w:rFonts w:hint="eastAsia"/>
        </w:rPr>
        <w:t>章</w:t>
      </w:r>
      <w:r>
        <w:t>）：</w:t>
      </w:r>
    </w:p>
    <w:p>
      <w:pPr>
        <w:pStyle w:val="2"/>
        <w:spacing w:after="0" w:line="480" w:lineRule="auto"/>
        <w:ind w:left="0" w:firstLine="480" w:firstLineChars="200"/>
        <w:jc w:val="both"/>
      </w:pPr>
      <w:r>
        <w:t>通讯地址：</w:t>
      </w:r>
      <w:r>
        <w:rPr>
          <w:rFonts w:hint="eastAsia"/>
          <w:u w:val="single"/>
        </w:rPr>
        <w:t xml:space="preserve">           </w:t>
      </w:r>
      <w:r>
        <w:rPr>
          <w:u w:val="single"/>
        </w:rPr>
        <w:t xml:space="preserve">            </w:t>
      </w:r>
      <w:r>
        <w:rPr>
          <w:rFonts w:hint="eastAsia"/>
          <w:u w:val="single"/>
        </w:rPr>
        <w:t xml:space="preserve">  </w:t>
      </w:r>
    </w:p>
    <w:p>
      <w:pPr>
        <w:pStyle w:val="2"/>
        <w:spacing w:after="0" w:line="480" w:lineRule="auto"/>
        <w:ind w:left="0" w:firstLine="480" w:firstLineChars="200"/>
        <w:jc w:val="both"/>
        <w:rPr>
          <w:u w:val="single"/>
        </w:rPr>
      </w:pPr>
      <w:r>
        <w:t>电话</w:t>
      </w:r>
      <w:r>
        <w:rPr>
          <w:b/>
        </w:rPr>
        <w:t>/</w:t>
      </w:r>
      <w:r>
        <w:t>传真：</w:t>
      </w:r>
      <w:r>
        <w:rPr>
          <w:u w:val="single"/>
        </w:rPr>
        <w:t xml:space="preserve"> </w:t>
      </w:r>
      <w:r>
        <w:rPr>
          <w:rFonts w:hint="eastAsia"/>
          <w:u w:val="single"/>
        </w:rPr>
        <w:t xml:space="preserve">        </w:t>
      </w:r>
      <w:r>
        <w:rPr>
          <w:u w:val="single"/>
        </w:rPr>
        <w:t xml:space="preserve">            </w:t>
      </w:r>
      <w:r>
        <w:rPr>
          <w:rFonts w:hint="eastAsia"/>
          <w:u w:val="single"/>
        </w:rPr>
        <w:t xml:space="preserve">   </w:t>
      </w:r>
    </w:p>
    <w:p>
      <w:pPr>
        <w:pStyle w:val="2"/>
        <w:spacing w:after="0" w:line="480" w:lineRule="auto"/>
        <w:ind w:left="0"/>
        <w:jc w:val="both"/>
        <w:rPr>
          <w:u w:val="single"/>
        </w:rPr>
      </w:pPr>
    </w:p>
    <w:p>
      <w:pPr>
        <w:ind w:firstLine="440" w:firstLineChars="200"/>
        <w:jc w:val="both"/>
        <w:rPr>
          <w:rFonts w:ascii="宋体" w:hAnsi="宋体" w:cs="宋体"/>
          <w:sz w:val="32"/>
          <w:szCs w:val="32"/>
          <w:highlight w:val="yellow"/>
          <w:lang w:val="zh-CN" w:eastAsia="zh-CN" w:bidi="zh-CN"/>
        </w:rPr>
      </w:pPr>
      <w:r>
        <w:rPr>
          <w:u w:val="single"/>
          <w:lang w:eastAsia="zh-CN"/>
        </w:rPr>
        <w:br w:type="page"/>
      </w:r>
      <w:r>
        <w:rPr>
          <w:rFonts w:ascii="宋体" w:hAnsi="宋体" w:cs="宋体"/>
          <w:sz w:val="32"/>
          <w:szCs w:val="32"/>
          <w:highlight w:val="yellow"/>
          <w:lang w:val="zh-CN" w:eastAsia="zh-CN" w:bidi="zh-CN"/>
        </w:rPr>
        <w:t>附件</w:t>
      </w:r>
      <w:r>
        <w:rPr>
          <w:rFonts w:hint="eastAsia" w:ascii="宋体" w:hAnsi="宋体" w:cs="宋体"/>
          <w:sz w:val="32"/>
          <w:szCs w:val="32"/>
          <w:highlight w:val="yellow"/>
          <w:lang w:val="zh-CN" w:eastAsia="zh-CN" w:bidi="zh-CN"/>
        </w:rPr>
        <w:t>2：</w:t>
      </w:r>
    </w:p>
    <w:p>
      <w:pPr>
        <w:ind w:right="-54"/>
        <w:jc w:val="center"/>
        <w:rPr>
          <w:rFonts w:ascii="宋体" w:hAnsi="宋体"/>
          <w:b/>
          <w:sz w:val="44"/>
          <w:szCs w:val="44"/>
          <w:highlight w:val="yellow"/>
          <w:lang w:eastAsia="zh-CN"/>
        </w:rPr>
      </w:pPr>
    </w:p>
    <w:p>
      <w:pPr>
        <w:ind w:right="-54"/>
        <w:jc w:val="center"/>
        <w:rPr>
          <w:rFonts w:ascii="宋体" w:hAnsi="宋体"/>
          <w:b/>
          <w:sz w:val="44"/>
          <w:szCs w:val="44"/>
          <w:highlight w:val="yellow"/>
          <w:lang w:eastAsia="zh-CN"/>
        </w:rPr>
      </w:pPr>
      <w:r>
        <w:rPr>
          <w:rFonts w:hint="eastAsia" w:ascii="宋体" w:hAnsi="宋体"/>
          <w:b/>
          <w:sz w:val="44"/>
          <w:szCs w:val="44"/>
          <w:highlight w:val="yellow"/>
          <w:lang w:eastAsia="zh-CN"/>
        </w:rPr>
        <w:t>“水务大管家”业务</w:t>
      </w:r>
      <w:r>
        <w:rPr>
          <w:rFonts w:ascii="宋体" w:hAnsi="宋体"/>
          <w:b/>
          <w:sz w:val="44"/>
          <w:szCs w:val="44"/>
          <w:highlight w:val="yellow"/>
          <w:lang w:eastAsia="zh-CN"/>
        </w:rPr>
        <w:t>运维</w:t>
      </w:r>
    </w:p>
    <w:p>
      <w:pPr>
        <w:ind w:right="-54"/>
        <w:jc w:val="center"/>
        <w:rPr>
          <w:rFonts w:ascii="宋体" w:hAnsi="宋体"/>
          <w:b/>
          <w:sz w:val="44"/>
          <w:szCs w:val="44"/>
          <w:highlight w:val="yellow"/>
          <w:lang w:eastAsia="zh-CN"/>
        </w:rPr>
      </w:pPr>
      <w:r>
        <w:rPr>
          <w:rFonts w:ascii="宋体" w:hAnsi="宋体"/>
          <w:b/>
          <w:sz w:val="44"/>
          <w:szCs w:val="44"/>
          <w:highlight w:val="yellow"/>
          <w:lang w:eastAsia="zh-CN"/>
        </w:rPr>
        <w:t>考核</w:t>
      </w:r>
      <w:r>
        <w:rPr>
          <w:rFonts w:hint="eastAsia" w:ascii="宋体" w:hAnsi="宋体"/>
          <w:b/>
          <w:sz w:val="44"/>
          <w:szCs w:val="44"/>
          <w:highlight w:val="yellow"/>
          <w:lang w:eastAsia="zh-CN"/>
        </w:rPr>
        <w:t>奖惩</w:t>
      </w:r>
      <w:r>
        <w:rPr>
          <w:rFonts w:ascii="宋体" w:hAnsi="宋体"/>
          <w:b/>
          <w:sz w:val="44"/>
          <w:szCs w:val="44"/>
          <w:highlight w:val="yellow"/>
          <w:lang w:eastAsia="zh-CN"/>
        </w:rPr>
        <w:t>实施</w:t>
      </w:r>
      <w:r>
        <w:rPr>
          <w:rFonts w:hint="eastAsia" w:ascii="宋体" w:hAnsi="宋体"/>
          <w:b/>
          <w:sz w:val="44"/>
          <w:szCs w:val="44"/>
          <w:highlight w:val="yellow"/>
          <w:lang w:eastAsia="zh-CN"/>
        </w:rPr>
        <w:t>办法</w:t>
      </w:r>
    </w:p>
    <w:p>
      <w:pPr>
        <w:jc w:val="center"/>
        <w:rPr>
          <w:rFonts w:ascii="宋体" w:hAnsi="宋体"/>
          <w:b/>
          <w:sz w:val="44"/>
          <w:szCs w:val="44"/>
          <w:highlight w:val="yellow"/>
          <w:lang w:eastAsia="zh-CN"/>
        </w:rPr>
      </w:pPr>
      <w:r>
        <w:rPr>
          <w:rFonts w:ascii="宋体" w:hAnsi="宋体"/>
          <w:b/>
          <w:sz w:val="44"/>
          <w:szCs w:val="44"/>
          <w:highlight w:val="yellow"/>
          <w:lang w:eastAsia="zh-CN"/>
        </w:rPr>
        <w:t>（根据工作需求进行适时修订）</w:t>
      </w:r>
    </w:p>
    <w:p>
      <w:pPr>
        <w:jc w:val="center"/>
        <w:rPr>
          <w:rFonts w:ascii="宋体" w:hAnsi="宋体"/>
          <w:b/>
          <w:sz w:val="30"/>
          <w:szCs w:val="30"/>
          <w:highlight w:val="yellow"/>
          <w:lang w:eastAsia="zh-CN"/>
        </w:rPr>
      </w:pPr>
    </w:p>
    <w:p>
      <w:pPr>
        <w:jc w:val="center"/>
        <w:rPr>
          <w:rFonts w:ascii="宋体" w:hAnsi="宋体"/>
          <w:b/>
          <w:sz w:val="30"/>
          <w:szCs w:val="30"/>
          <w:lang w:eastAsia="zh-CN"/>
        </w:rPr>
      </w:pPr>
    </w:p>
    <w:p>
      <w:pPr>
        <w:jc w:val="center"/>
        <w:rPr>
          <w:rFonts w:ascii="宋体" w:hAnsi="宋体"/>
          <w:b/>
          <w:sz w:val="30"/>
          <w:szCs w:val="30"/>
          <w:lang w:eastAsia="zh-CN"/>
        </w:rPr>
      </w:pPr>
    </w:p>
    <w:p>
      <w:pPr>
        <w:jc w:val="center"/>
        <w:rPr>
          <w:rFonts w:ascii="宋体" w:hAnsi="宋体"/>
          <w:b/>
          <w:sz w:val="30"/>
          <w:szCs w:val="30"/>
          <w:lang w:eastAsia="zh-CN"/>
        </w:rPr>
      </w:pPr>
    </w:p>
    <w:p>
      <w:pPr>
        <w:jc w:val="center"/>
        <w:rPr>
          <w:rFonts w:ascii="宋体" w:hAnsi="宋体"/>
          <w:b/>
          <w:sz w:val="30"/>
          <w:szCs w:val="30"/>
          <w:lang w:eastAsia="zh-CN"/>
        </w:rPr>
      </w:pPr>
    </w:p>
    <w:p>
      <w:pPr>
        <w:jc w:val="center"/>
        <w:rPr>
          <w:rFonts w:ascii="宋体" w:hAnsi="宋体"/>
          <w:b/>
          <w:sz w:val="30"/>
          <w:szCs w:val="30"/>
          <w:lang w:eastAsia="zh-CN"/>
        </w:rPr>
      </w:pPr>
    </w:p>
    <w:p>
      <w:pPr>
        <w:jc w:val="center"/>
        <w:rPr>
          <w:rFonts w:ascii="宋体" w:hAnsi="宋体"/>
          <w:b/>
          <w:sz w:val="30"/>
          <w:szCs w:val="30"/>
          <w:lang w:eastAsia="zh-CN"/>
        </w:rPr>
      </w:pPr>
    </w:p>
    <w:p>
      <w:pPr>
        <w:jc w:val="center"/>
        <w:rPr>
          <w:rFonts w:ascii="宋体" w:hAnsi="宋体"/>
          <w:b/>
          <w:sz w:val="30"/>
          <w:szCs w:val="30"/>
          <w:lang w:eastAsia="zh-CN"/>
        </w:rPr>
      </w:pPr>
    </w:p>
    <w:p>
      <w:pPr>
        <w:jc w:val="center"/>
        <w:rPr>
          <w:rFonts w:ascii="宋体" w:hAnsi="宋体"/>
          <w:b/>
          <w:sz w:val="30"/>
          <w:szCs w:val="30"/>
          <w:lang w:eastAsia="zh-CN"/>
        </w:rPr>
      </w:pPr>
      <w:r>
        <w:rPr>
          <w:rFonts w:hint="eastAsia" w:ascii="宋体" w:hAnsi="宋体"/>
          <w:b/>
          <w:sz w:val="30"/>
          <w:szCs w:val="30"/>
          <w:lang w:eastAsia="zh-CN"/>
        </w:rPr>
        <w:t>深圳市深汕特别合作区深水水务有限公司</w:t>
      </w:r>
    </w:p>
    <w:p>
      <w:pPr>
        <w:jc w:val="center"/>
        <w:rPr>
          <w:rFonts w:ascii="宋体" w:hAnsi="宋体"/>
          <w:b/>
          <w:sz w:val="30"/>
          <w:szCs w:val="30"/>
          <w:lang w:eastAsia="zh-CN"/>
        </w:rPr>
      </w:pPr>
      <w:r>
        <w:rPr>
          <w:rFonts w:hint="eastAsia" w:ascii="宋体" w:hAnsi="宋体"/>
          <w:b/>
          <w:sz w:val="30"/>
          <w:szCs w:val="30"/>
          <w:lang w:eastAsia="zh-CN"/>
        </w:rPr>
        <w:t>二〇二二年二月</w:t>
      </w:r>
    </w:p>
    <w:p>
      <w:pPr>
        <w:pStyle w:val="3"/>
        <w:spacing w:line="240" w:lineRule="auto"/>
        <w:rPr>
          <w:b w:val="0"/>
          <w:sz w:val="22"/>
          <w:lang w:eastAsia="zh-CN"/>
        </w:rPr>
      </w:pPr>
    </w:p>
    <w:p>
      <w:pPr>
        <w:rPr>
          <w:lang w:eastAsia="zh-CN"/>
        </w:rPr>
      </w:pPr>
    </w:p>
    <w:p>
      <w:pPr>
        <w:pStyle w:val="3"/>
        <w:spacing w:line="240" w:lineRule="auto"/>
        <w:rPr>
          <w:color w:val="auto"/>
          <w:lang w:eastAsia="zh-CN"/>
        </w:rPr>
      </w:pPr>
      <w:r>
        <w:rPr>
          <w:rFonts w:ascii="宋体" w:hAnsi="宋体" w:cs="宋体"/>
          <w:sz w:val="24"/>
          <w:szCs w:val="24"/>
          <w:lang w:eastAsia="zh-CN" w:bidi="zh-CN"/>
        </w:rPr>
        <w:br w:type="page"/>
      </w:r>
      <w:bookmarkStart w:id="3" w:name="_Toc49346102"/>
      <w:r>
        <w:rPr>
          <w:rFonts w:hint="eastAsia"/>
          <w:color w:val="auto"/>
          <w:lang w:eastAsia="zh-CN"/>
        </w:rPr>
        <w:t>1.概述</w:t>
      </w:r>
      <w:bookmarkEnd w:id="3"/>
    </w:p>
    <w:p>
      <w:pPr>
        <w:pStyle w:val="4"/>
        <w:spacing w:line="240" w:lineRule="auto"/>
        <w:rPr>
          <w:color w:val="auto"/>
          <w:lang w:eastAsia="zh-CN"/>
        </w:rPr>
      </w:pPr>
      <w:bookmarkStart w:id="4" w:name="_Toc49346103"/>
      <w:r>
        <w:rPr>
          <w:rFonts w:hint="eastAsia"/>
          <w:color w:val="auto"/>
          <w:lang w:eastAsia="zh-CN"/>
        </w:rPr>
        <w:t>1.1目的</w:t>
      </w:r>
      <w:bookmarkEnd w:id="4"/>
    </w:p>
    <w:p>
      <w:pPr>
        <w:spacing w:line="240" w:lineRule="auto"/>
        <w:ind w:firstLine="560" w:firstLineChars="200"/>
        <w:jc w:val="both"/>
        <w:rPr>
          <w:rFonts w:ascii="仿宋" w:hAnsi="仿宋" w:eastAsia="仿宋"/>
          <w:sz w:val="28"/>
          <w:szCs w:val="28"/>
          <w:lang w:val="zh-CN" w:eastAsia="zh-CN"/>
        </w:rPr>
      </w:pPr>
      <w:r>
        <w:rPr>
          <w:rFonts w:hint="eastAsia" w:ascii="仿宋" w:hAnsi="仿宋" w:eastAsia="仿宋"/>
          <w:sz w:val="28"/>
          <w:szCs w:val="28"/>
          <w:lang w:eastAsia="zh-CN"/>
        </w:rPr>
        <w:t>深汕特别合作区是我省实现“三个定位、两个率先”的总目标、促进区域协调发展的重要实践，通过“水务大管家”新增涉水业务运维管理，逐步推动水库、河道全流域、全要素管理，保障水库、河道防洪安全和水环境安全，严格合同考核，推行按效付费，严管重罚，确保管养质量，营造水清岸绿景美的生态环境</w:t>
      </w:r>
      <w:r>
        <w:rPr>
          <w:rFonts w:hint="eastAsia" w:ascii="仿宋" w:hAnsi="仿宋" w:eastAsia="仿宋"/>
          <w:sz w:val="28"/>
          <w:szCs w:val="28"/>
          <w:lang w:val="zh-CN" w:eastAsia="zh-CN"/>
        </w:rPr>
        <w:t>。</w:t>
      </w:r>
    </w:p>
    <w:p>
      <w:pPr>
        <w:pStyle w:val="4"/>
        <w:spacing w:line="240" w:lineRule="auto"/>
        <w:rPr>
          <w:color w:val="auto"/>
          <w:lang w:eastAsia="zh-CN"/>
        </w:rPr>
      </w:pPr>
      <w:bookmarkStart w:id="5" w:name="_Toc49346104"/>
      <w:r>
        <w:rPr>
          <w:rFonts w:hint="eastAsia"/>
          <w:color w:val="auto"/>
          <w:lang w:eastAsia="zh-CN"/>
        </w:rPr>
        <w:t>1.2内容</w:t>
      </w:r>
      <w:bookmarkEnd w:id="5"/>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水库、河道运维管养的考核及奖惩。</w:t>
      </w:r>
    </w:p>
    <w:p>
      <w:pPr>
        <w:pStyle w:val="3"/>
        <w:spacing w:line="240" w:lineRule="auto"/>
        <w:rPr>
          <w:color w:val="auto"/>
          <w:lang w:eastAsia="zh-CN"/>
        </w:rPr>
      </w:pPr>
      <w:bookmarkStart w:id="6" w:name="_Toc49346105"/>
      <w:r>
        <w:rPr>
          <w:rFonts w:hint="eastAsia"/>
          <w:color w:val="auto"/>
          <w:lang w:eastAsia="zh-CN"/>
        </w:rPr>
        <w:t>2.运维单位考核办法</w:t>
      </w:r>
      <w:bookmarkEnd w:id="6"/>
    </w:p>
    <w:p>
      <w:pPr>
        <w:pStyle w:val="4"/>
        <w:spacing w:line="240" w:lineRule="auto"/>
        <w:rPr>
          <w:rFonts w:ascii="仿宋" w:hAnsi="仿宋" w:eastAsia="仿宋"/>
          <w:color w:val="auto"/>
          <w:sz w:val="28"/>
          <w:szCs w:val="28"/>
          <w:lang w:eastAsia="zh-CN"/>
        </w:rPr>
      </w:pPr>
      <w:bookmarkStart w:id="7" w:name="_Toc49346106"/>
      <w:r>
        <w:rPr>
          <w:rFonts w:hint="eastAsia"/>
          <w:color w:val="auto"/>
          <w:lang w:eastAsia="zh-CN"/>
        </w:rPr>
        <w:t>2.1</w:t>
      </w:r>
      <w:r>
        <w:rPr>
          <w:color w:val="auto"/>
          <w:lang w:eastAsia="zh-CN"/>
        </w:rPr>
        <w:t>水库运营考核</w:t>
      </w:r>
      <w:bookmarkEnd w:id="7"/>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2.1.1</w:t>
      </w:r>
      <w:r>
        <w:rPr>
          <w:rFonts w:ascii="仿宋" w:hAnsi="仿宋" w:eastAsia="仿宋"/>
          <w:sz w:val="28"/>
          <w:szCs w:val="28"/>
          <w:lang w:eastAsia="zh-CN"/>
        </w:rPr>
        <w:t>考核机制</w:t>
      </w:r>
    </w:p>
    <w:p>
      <w:pPr>
        <w:spacing w:after="447" w:line="24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由</w:t>
      </w:r>
      <w:r>
        <w:rPr>
          <w:rFonts w:hint="eastAsia" w:ascii="仿宋" w:hAnsi="仿宋" w:eastAsia="仿宋"/>
          <w:sz w:val="28"/>
          <w:szCs w:val="28"/>
          <w:lang w:eastAsia="zh-CN"/>
        </w:rPr>
        <w:t>深水</w:t>
      </w:r>
      <w:r>
        <w:rPr>
          <w:rFonts w:ascii="仿宋" w:hAnsi="仿宋" w:eastAsia="仿宋"/>
          <w:sz w:val="28"/>
          <w:szCs w:val="28"/>
          <w:lang w:eastAsia="zh-CN"/>
        </w:rPr>
        <w:t>深汕水务公司</w:t>
      </w:r>
      <w:r>
        <w:rPr>
          <w:rFonts w:hint="eastAsia" w:ascii="仿宋" w:hAnsi="仿宋" w:eastAsia="仿宋"/>
          <w:sz w:val="28"/>
          <w:szCs w:val="28"/>
          <w:lang w:eastAsia="zh-CN"/>
        </w:rPr>
        <w:t>对运维单位进行考核</w:t>
      </w:r>
      <w:r>
        <w:rPr>
          <w:rFonts w:ascii="仿宋" w:hAnsi="仿宋" w:eastAsia="仿宋"/>
          <w:sz w:val="28"/>
          <w:szCs w:val="28"/>
          <w:lang w:eastAsia="zh-CN"/>
        </w:rPr>
        <w:t>，本项目每季度考核一次，</w:t>
      </w:r>
      <w:r>
        <w:rPr>
          <w:rFonts w:hint="eastAsia" w:ascii="仿宋" w:hAnsi="仿宋" w:eastAsia="仿宋"/>
          <w:sz w:val="28"/>
          <w:szCs w:val="28"/>
          <w:lang w:eastAsia="zh-CN"/>
        </w:rPr>
        <w:t>季度考核按照考核细则实行单项扣分扣款，扣分情况从当季度考核分中扣除，扣款在下一次支付费用时一并扣除。年度考核总分由季度考核分（40%）和年终考核分（60%）构成，考核评定结果分优秀、良好、合格和不合格，根据年度考核结果支付款项</w:t>
      </w:r>
      <w:r>
        <w:rPr>
          <w:rFonts w:ascii="仿宋" w:hAnsi="仿宋" w:eastAsia="仿宋"/>
          <w:sz w:val="28"/>
          <w:szCs w:val="28"/>
          <w:lang w:eastAsia="zh-CN"/>
        </w:rPr>
        <w:t>。</w:t>
      </w:r>
    </w:p>
    <w:p>
      <w:pPr>
        <w:spacing w:after="447"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（1）季度考核</w:t>
      </w:r>
    </w:p>
    <w:p>
      <w:pPr>
        <w:spacing w:after="447"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季度考核按照考核细则实行单项扣分扣款和单项奖分奖款组成，季度工作实施过程中按照考核细则，记录出现需扣分、扣款和奖分、奖款事件，扣分或奖分情况从当季度考核分中扣除或增加，扣款或奖款计入当季度扣款、奖款事项，在下次支付费用时一并扣除或增加。</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（2）年度考核</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1）年度考核总分由季度考核分（占40%）和年终考核分（占60%）按比例构成，考核评定结果分优秀、良好、合格和不合格，考核结果作为尾款支付依据，运用方式如下：</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①考核结果为优秀（100—90分）,支付100%款项；</w:t>
      </w:r>
    </w:p>
    <w:p>
      <w:pPr>
        <w:pStyle w:val="2"/>
        <w:ind w:firstLine="280" w:firstLineChars="100"/>
      </w:pPr>
      <w:r>
        <w:rPr>
          <w:rFonts w:hint="eastAsia" w:ascii="仿宋" w:hAnsi="仿宋" w:eastAsia="仿宋"/>
          <w:sz w:val="28"/>
          <w:szCs w:val="28"/>
        </w:rPr>
        <w:t>②考核结果为</w:t>
      </w:r>
      <w:r>
        <w:rPr>
          <w:rFonts w:hint="eastAsia" w:ascii="仿宋" w:hAnsi="仿宋" w:eastAsia="仿宋"/>
          <w:sz w:val="28"/>
          <w:szCs w:val="28"/>
          <w:lang w:val="en-US"/>
        </w:rPr>
        <w:t>良好</w:t>
      </w:r>
      <w:r>
        <w:rPr>
          <w:rFonts w:hint="eastAsia" w:ascii="仿宋" w:hAnsi="仿宋" w:eastAsia="仿宋"/>
          <w:sz w:val="28"/>
          <w:szCs w:val="28"/>
        </w:rPr>
        <w:t>（</w:t>
      </w:r>
      <w:r>
        <w:rPr>
          <w:rFonts w:hint="eastAsia" w:ascii="仿宋" w:hAnsi="仿宋" w:eastAsia="仿宋"/>
          <w:sz w:val="28"/>
          <w:szCs w:val="28"/>
          <w:lang w:val="en-US"/>
        </w:rPr>
        <w:t>90</w:t>
      </w:r>
      <w:r>
        <w:rPr>
          <w:rFonts w:hint="eastAsia" w:ascii="仿宋" w:hAnsi="仿宋" w:eastAsia="仿宋"/>
          <w:sz w:val="28"/>
          <w:szCs w:val="28"/>
        </w:rPr>
        <w:t>—</w:t>
      </w:r>
      <w:r>
        <w:rPr>
          <w:rFonts w:hint="eastAsia" w:ascii="仿宋" w:hAnsi="仿宋" w:eastAsia="仿宋"/>
          <w:sz w:val="28"/>
          <w:szCs w:val="28"/>
          <w:lang w:val="en-US"/>
        </w:rPr>
        <w:t>8</w:t>
      </w:r>
      <w:r>
        <w:rPr>
          <w:rFonts w:hint="eastAsia" w:ascii="仿宋" w:hAnsi="仿宋" w:eastAsia="仿宋"/>
          <w:sz w:val="28"/>
          <w:szCs w:val="28"/>
        </w:rPr>
        <w:t>0分，</w:t>
      </w:r>
      <w:r>
        <w:rPr>
          <w:rFonts w:hint="eastAsia" w:ascii="仿宋" w:hAnsi="仿宋" w:eastAsia="仿宋"/>
          <w:sz w:val="28"/>
          <w:szCs w:val="28"/>
          <w:lang w:val="en-US"/>
        </w:rPr>
        <w:t>不包含90分</w:t>
      </w:r>
      <w:r>
        <w:rPr>
          <w:rFonts w:hint="eastAsia" w:ascii="仿宋" w:hAnsi="仿宋" w:eastAsia="仿宋"/>
          <w:sz w:val="28"/>
          <w:szCs w:val="28"/>
        </w:rPr>
        <w:t>）,支付</w:t>
      </w:r>
      <w:r>
        <w:rPr>
          <w:rFonts w:hint="eastAsia" w:ascii="仿宋" w:hAnsi="仿宋" w:eastAsia="仿宋"/>
          <w:sz w:val="28"/>
          <w:szCs w:val="28"/>
          <w:lang w:val="en-US"/>
        </w:rPr>
        <w:t>95</w:t>
      </w:r>
      <w:r>
        <w:rPr>
          <w:rFonts w:hint="eastAsia" w:ascii="仿宋" w:hAnsi="仿宋" w:eastAsia="仿宋"/>
          <w:sz w:val="28"/>
          <w:szCs w:val="28"/>
        </w:rPr>
        <w:t>%款项；</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③考核结果为合格（80—60分，不包含80分），支付90%款项；</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④考核结果为不合格（60分以下，不包含60分），履约评价为不合格，按照实际发生的工作量结算并不续签合同。</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2.1.2</w:t>
      </w:r>
      <w:r>
        <w:rPr>
          <w:rFonts w:ascii="仿宋" w:hAnsi="仿宋" w:eastAsia="仿宋"/>
          <w:sz w:val="28"/>
          <w:szCs w:val="28"/>
          <w:lang w:eastAsia="zh-CN"/>
        </w:rPr>
        <w:t>考核评分</w:t>
      </w:r>
    </w:p>
    <w:p>
      <w:pPr>
        <w:spacing w:line="24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每个工作内容作为一个考核单元。各考核单元综合得分100-</w:t>
      </w:r>
      <w:r>
        <w:rPr>
          <w:rFonts w:hint="eastAsia" w:ascii="仿宋" w:hAnsi="仿宋" w:eastAsia="仿宋"/>
          <w:sz w:val="28"/>
          <w:szCs w:val="28"/>
          <w:lang w:eastAsia="zh-CN"/>
        </w:rPr>
        <w:t>9</w:t>
      </w:r>
      <w:r>
        <w:rPr>
          <w:rFonts w:ascii="仿宋" w:hAnsi="仿宋" w:eastAsia="仿宋"/>
          <w:sz w:val="28"/>
          <w:szCs w:val="28"/>
          <w:lang w:eastAsia="zh-CN"/>
        </w:rPr>
        <w:t>0（</w:t>
      </w:r>
      <w:r>
        <w:rPr>
          <w:rFonts w:hint="eastAsia" w:ascii="仿宋" w:hAnsi="仿宋" w:eastAsia="仿宋"/>
          <w:sz w:val="28"/>
          <w:szCs w:val="28"/>
          <w:lang w:eastAsia="zh-CN"/>
        </w:rPr>
        <w:t>包含9</w:t>
      </w:r>
      <w:r>
        <w:rPr>
          <w:rFonts w:ascii="仿宋" w:hAnsi="仿宋" w:eastAsia="仿宋"/>
          <w:sz w:val="28"/>
          <w:szCs w:val="28"/>
          <w:lang w:eastAsia="zh-CN"/>
        </w:rPr>
        <w:t>0）</w:t>
      </w:r>
      <w:r>
        <w:rPr>
          <w:rFonts w:hint="eastAsia" w:ascii="仿宋" w:hAnsi="仿宋" w:eastAsia="仿宋"/>
          <w:sz w:val="28"/>
          <w:szCs w:val="28"/>
          <w:lang w:eastAsia="zh-CN"/>
        </w:rPr>
        <w:t>为优秀</w:t>
      </w:r>
      <w:r>
        <w:rPr>
          <w:rFonts w:ascii="仿宋" w:hAnsi="仿宋" w:eastAsia="仿宋"/>
          <w:sz w:val="28"/>
          <w:szCs w:val="28"/>
          <w:lang w:eastAsia="zh-CN"/>
        </w:rPr>
        <w:t>；</w:t>
      </w:r>
      <w:r>
        <w:rPr>
          <w:rFonts w:hint="eastAsia" w:ascii="仿宋" w:hAnsi="仿宋" w:eastAsia="仿宋"/>
          <w:sz w:val="28"/>
          <w:szCs w:val="28"/>
          <w:lang w:eastAsia="zh-CN"/>
        </w:rPr>
        <w:t>90-80分（不包含90分）为良好，8</w:t>
      </w:r>
      <w:r>
        <w:rPr>
          <w:rFonts w:ascii="仿宋" w:hAnsi="仿宋" w:eastAsia="仿宋"/>
          <w:sz w:val="28"/>
          <w:szCs w:val="28"/>
          <w:lang w:eastAsia="zh-CN"/>
        </w:rPr>
        <w:t>0</w:t>
      </w:r>
      <w:r>
        <w:rPr>
          <w:rFonts w:hint="eastAsia" w:ascii="仿宋" w:hAnsi="仿宋" w:eastAsia="仿宋"/>
          <w:sz w:val="28"/>
          <w:szCs w:val="28"/>
          <w:lang w:eastAsia="zh-CN"/>
        </w:rPr>
        <w:t>—6</w:t>
      </w:r>
      <w:r>
        <w:rPr>
          <w:rFonts w:ascii="仿宋" w:hAnsi="仿宋" w:eastAsia="仿宋"/>
          <w:sz w:val="28"/>
          <w:szCs w:val="28"/>
          <w:lang w:eastAsia="zh-CN"/>
        </w:rPr>
        <w:t>0</w:t>
      </w:r>
      <w:r>
        <w:rPr>
          <w:rFonts w:hint="eastAsia" w:ascii="仿宋" w:hAnsi="仿宋" w:eastAsia="仿宋"/>
          <w:sz w:val="28"/>
          <w:szCs w:val="28"/>
          <w:lang w:eastAsia="zh-CN"/>
        </w:rPr>
        <w:t>分（不包含80分）为合格，</w:t>
      </w:r>
      <w:r>
        <w:rPr>
          <w:rFonts w:ascii="仿宋" w:hAnsi="仿宋" w:eastAsia="仿宋"/>
          <w:sz w:val="28"/>
          <w:szCs w:val="28"/>
          <w:lang w:eastAsia="zh-CN"/>
        </w:rPr>
        <w:t xml:space="preserve"> </w:t>
      </w:r>
      <w:r>
        <w:rPr>
          <w:rFonts w:hint="eastAsia" w:ascii="仿宋" w:hAnsi="仿宋" w:eastAsia="仿宋"/>
          <w:sz w:val="28"/>
          <w:szCs w:val="28"/>
          <w:lang w:eastAsia="zh-CN"/>
        </w:rPr>
        <w:t>6</w:t>
      </w:r>
      <w:r>
        <w:rPr>
          <w:rFonts w:ascii="仿宋" w:hAnsi="仿宋" w:eastAsia="仿宋"/>
          <w:sz w:val="28"/>
          <w:szCs w:val="28"/>
          <w:lang w:eastAsia="zh-CN"/>
        </w:rPr>
        <w:t>0</w:t>
      </w:r>
      <w:r>
        <w:rPr>
          <w:rFonts w:hint="eastAsia" w:ascii="仿宋" w:hAnsi="仿宋" w:eastAsia="仿宋"/>
          <w:sz w:val="28"/>
          <w:szCs w:val="28"/>
          <w:lang w:eastAsia="zh-CN"/>
        </w:rPr>
        <w:t>分以下（不包含60分），</w:t>
      </w:r>
      <w:r>
        <w:rPr>
          <w:rFonts w:ascii="仿宋" w:hAnsi="仿宋" w:eastAsia="仿宋"/>
          <w:sz w:val="28"/>
          <w:szCs w:val="28"/>
          <w:lang w:eastAsia="zh-CN"/>
        </w:rPr>
        <w:t>为“不合格”。</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2.1.3评分标准</w:t>
      </w:r>
    </w:p>
    <w:p>
      <w:pPr>
        <w:spacing w:line="24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考核可根据项目实施需要，在管养服务工作进行过程中进行调整。检查情况及评分结果将以书面形式告知服务单位。</w:t>
      </w:r>
      <w:r>
        <w:rPr>
          <w:rFonts w:hint="eastAsia" w:ascii="仿宋" w:hAnsi="仿宋" w:eastAsia="仿宋"/>
          <w:sz w:val="28"/>
          <w:szCs w:val="28"/>
          <w:lang w:eastAsia="zh-CN"/>
        </w:rPr>
        <w:t>考核从几个维度对运维工作进行评分（详见附件），包括：</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1.资料管理考核：主要考核档案管理制度、档案存放设施、档案分类及归档资料等；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2.物资设备管理考核：主要考核物资设备配备、管理、使用、维护等；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3.制度情况考核：主要考核制度制定及执行情况等；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4.巡查、保洁、绿化、设施维护和安全文明作业等考核：主要考核主体工程养护情况；机电设备维护情况；水库及周边卫生、消杀、绿化情况；安保巡查情况；安全文明作业情况等。</w:t>
      </w:r>
    </w:p>
    <w:p>
      <w:pPr>
        <w:pStyle w:val="4"/>
        <w:spacing w:line="240" w:lineRule="auto"/>
        <w:rPr>
          <w:color w:val="auto"/>
          <w:lang w:eastAsia="zh-CN"/>
        </w:rPr>
      </w:pPr>
      <w:bookmarkStart w:id="8" w:name="_Toc49346107"/>
      <w:r>
        <w:rPr>
          <w:rFonts w:hint="eastAsia"/>
          <w:color w:val="auto"/>
          <w:lang w:eastAsia="zh-CN"/>
        </w:rPr>
        <w:t>2.2河道运营考核</w:t>
      </w:r>
      <w:bookmarkEnd w:id="8"/>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2.2.1</w:t>
      </w:r>
      <w:r>
        <w:rPr>
          <w:rFonts w:ascii="仿宋" w:hAnsi="仿宋" w:eastAsia="仿宋"/>
          <w:sz w:val="28"/>
          <w:szCs w:val="28"/>
          <w:lang w:eastAsia="zh-CN"/>
        </w:rPr>
        <w:t>考核机制</w:t>
      </w:r>
    </w:p>
    <w:p>
      <w:pPr>
        <w:spacing w:after="447" w:line="24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由</w:t>
      </w:r>
      <w:r>
        <w:rPr>
          <w:rFonts w:hint="eastAsia" w:ascii="仿宋" w:hAnsi="仿宋" w:eastAsia="仿宋"/>
          <w:sz w:val="28"/>
          <w:szCs w:val="28"/>
          <w:lang w:eastAsia="zh-CN"/>
        </w:rPr>
        <w:t>深水</w:t>
      </w:r>
      <w:r>
        <w:rPr>
          <w:rFonts w:ascii="仿宋" w:hAnsi="仿宋" w:eastAsia="仿宋"/>
          <w:sz w:val="28"/>
          <w:szCs w:val="28"/>
          <w:lang w:eastAsia="zh-CN"/>
        </w:rPr>
        <w:t>深汕水务公司</w:t>
      </w:r>
      <w:r>
        <w:rPr>
          <w:rFonts w:hint="eastAsia" w:ascii="仿宋" w:hAnsi="仿宋" w:eastAsia="仿宋"/>
          <w:sz w:val="28"/>
          <w:szCs w:val="28"/>
          <w:lang w:eastAsia="zh-CN"/>
        </w:rPr>
        <w:t>对运维单位进行考核</w:t>
      </w:r>
      <w:r>
        <w:rPr>
          <w:rFonts w:ascii="仿宋" w:hAnsi="仿宋" w:eastAsia="仿宋"/>
          <w:sz w:val="28"/>
          <w:szCs w:val="28"/>
          <w:lang w:eastAsia="zh-CN"/>
        </w:rPr>
        <w:t>，本项目每季度考核一次，</w:t>
      </w:r>
      <w:r>
        <w:rPr>
          <w:rFonts w:hint="eastAsia" w:ascii="仿宋" w:hAnsi="仿宋" w:eastAsia="仿宋"/>
          <w:sz w:val="28"/>
          <w:szCs w:val="28"/>
          <w:lang w:eastAsia="zh-CN"/>
        </w:rPr>
        <w:t>季度考核按照考核细则实行单项扣分扣款，扣分情况从当季度考核分中扣除，扣款在下一次支付费用时一并扣除。年度考核总分由季度考核分（40%）和年终考核分（60%）构成，考核评定结果分优秀、良好、合格和不合格，根据年度考核结果支付款项</w:t>
      </w:r>
      <w:r>
        <w:rPr>
          <w:rFonts w:ascii="仿宋" w:hAnsi="仿宋" w:eastAsia="仿宋"/>
          <w:sz w:val="28"/>
          <w:szCs w:val="28"/>
          <w:lang w:eastAsia="zh-CN"/>
        </w:rPr>
        <w:t>。</w:t>
      </w:r>
    </w:p>
    <w:p>
      <w:pPr>
        <w:spacing w:after="447"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（1）季度考核</w:t>
      </w:r>
    </w:p>
    <w:p>
      <w:pPr>
        <w:spacing w:after="447" w:line="240" w:lineRule="auto"/>
        <w:jc w:val="both"/>
        <w:rPr>
          <w:rFonts w:ascii="仿宋" w:hAnsi="仿宋" w:eastAsia="仿宋"/>
          <w:sz w:val="28"/>
          <w:szCs w:val="28"/>
          <w:lang w:eastAsia="zh-CN"/>
        </w:rPr>
      </w:pPr>
      <w:r>
        <w:rPr>
          <w:rFonts w:hint="eastAsia" w:ascii="仿宋" w:hAnsi="仿宋" w:eastAsia="仿宋"/>
          <w:sz w:val="28"/>
          <w:szCs w:val="28"/>
          <w:lang w:eastAsia="zh-CN"/>
        </w:rPr>
        <w:t>季度考核按照考核细则实行单项扣分扣款和单项奖分奖款组成，季度工作实施过程中按照考核细则，记录出现需扣分、扣款和奖分、奖款事件，扣分或奖分情况从当季度考核分中扣除或增加，扣款或奖款计入当季度扣款、奖款事项，在下次支付费用时一并扣除或增加。</w:t>
      </w:r>
    </w:p>
    <w:p>
      <w:pPr>
        <w:spacing w:after="447"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（2）年度考核</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1）年度考核总分由季度考核分（占40%）和年终考核分（占60%）按比例构成，考核评定结果分优秀、良好、合格和不合格，考核结果作为尾款支付依据，运用方式如下：</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①考核结果为优秀（100—90分）,支付100%款项；</w:t>
      </w:r>
    </w:p>
    <w:p>
      <w:pPr>
        <w:pStyle w:val="2"/>
        <w:ind w:firstLine="280" w:firstLineChars="100"/>
      </w:pPr>
      <w:r>
        <w:rPr>
          <w:rFonts w:hint="eastAsia" w:ascii="仿宋" w:hAnsi="仿宋" w:eastAsia="仿宋"/>
          <w:sz w:val="28"/>
          <w:szCs w:val="28"/>
        </w:rPr>
        <w:t>②考核结果为</w:t>
      </w:r>
      <w:r>
        <w:rPr>
          <w:rFonts w:hint="eastAsia" w:ascii="仿宋" w:hAnsi="仿宋" w:eastAsia="仿宋"/>
          <w:sz w:val="28"/>
          <w:szCs w:val="28"/>
          <w:lang w:val="en-US"/>
        </w:rPr>
        <w:t>良好</w:t>
      </w:r>
      <w:r>
        <w:rPr>
          <w:rFonts w:hint="eastAsia" w:ascii="仿宋" w:hAnsi="仿宋" w:eastAsia="仿宋"/>
          <w:sz w:val="28"/>
          <w:szCs w:val="28"/>
        </w:rPr>
        <w:t>（</w:t>
      </w:r>
      <w:r>
        <w:rPr>
          <w:rFonts w:hint="eastAsia" w:ascii="仿宋" w:hAnsi="仿宋" w:eastAsia="仿宋"/>
          <w:sz w:val="28"/>
          <w:szCs w:val="28"/>
          <w:lang w:val="en-US"/>
        </w:rPr>
        <w:t>90</w:t>
      </w:r>
      <w:r>
        <w:rPr>
          <w:rFonts w:hint="eastAsia" w:ascii="仿宋" w:hAnsi="仿宋" w:eastAsia="仿宋"/>
          <w:sz w:val="28"/>
          <w:szCs w:val="28"/>
        </w:rPr>
        <w:t>—</w:t>
      </w:r>
      <w:r>
        <w:rPr>
          <w:rFonts w:hint="eastAsia" w:ascii="仿宋" w:hAnsi="仿宋" w:eastAsia="仿宋"/>
          <w:sz w:val="28"/>
          <w:szCs w:val="28"/>
          <w:lang w:val="en-US"/>
        </w:rPr>
        <w:t>8</w:t>
      </w:r>
      <w:r>
        <w:rPr>
          <w:rFonts w:hint="eastAsia" w:ascii="仿宋" w:hAnsi="仿宋" w:eastAsia="仿宋"/>
          <w:sz w:val="28"/>
          <w:szCs w:val="28"/>
        </w:rPr>
        <w:t>0分，</w:t>
      </w:r>
      <w:r>
        <w:rPr>
          <w:rFonts w:hint="eastAsia" w:ascii="仿宋" w:hAnsi="仿宋" w:eastAsia="仿宋"/>
          <w:sz w:val="28"/>
          <w:szCs w:val="28"/>
          <w:lang w:val="en-US"/>
        </w:rPr>
        <w:t>不包含90分</w:t>
      </w:r>
      <w:r>
        <w:rPr>
          <w:rFonts w:hint="eastAsia" w:ascii="仿宋" w:hAnsi="仿宋" w:eastAsia="仿宋"/>
          <w:sz w:val="28"/>
          <w:szCs w:val="28"/>
        </w:rPr>
        <w:t>）,支付</w:t>
      </w:r>
      <w:r>
        <w:rPr>
          <w:rFonts w:hint="eastAsia" w:ascii="仿宋" w:hAnsi="仿宋" w:eastAsia="仿宋"/>
          <w:sz w:val="28"/>
          <w:szCs w:val="28"/>
          <w:lang w:val="en-US"/>
        </w:rPr>
        <w:t>95</w:t>
      </w:r>
      <w:r>
        <w:rPr>
          <w:rFonts w:hint="eastAsia" w:ascii="仿宋" w:hAnsi="仿宋" w:eastAsia="仿宋"/>
          <w:sz w:val="28"/>
          <w:szCs w:val="28"/>
        </w:rPr>
        <w:t>%款项；</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③考核结果为合格（80—60分，不包含80分），支付90%款项；</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④考核结果为不合格（60分以下，不包含60分），履约评价为不合格，按照实际发生的工作量结算并不续签合同。</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2.2.2</w:t>
      </w:r>
      <w:r>
        <w:rPr>
          <w:rFonts w:ascii="仿宋" w:hAnsi="仿宋" w:eastAsia="仿宋"/>
          <w:sz w:val="28"/>
          <w:szCs w:val="28"/>
          <w:lang w:eastAsia="zh-CN"/>
        </w:rPr>
        <w:t>考核评分</w:t>
      </w:r>
    </w:p>
    <w:p>
      <w:pPr>
        <w:spacing w:line="24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每个工作内容作为一个考核单元。各考核单元综合得分100-</w:t>
      </w:r>
      <w:r>
        <w:rPr>
          <w:rFonts w:hint="eastAsia" w:ascii="仿宋" w:hAnsi="仿宋" w:eastAsia="仿宋"/>
          <w:sz w:val="28"/>
          <w:szCs w:val="28"/>
          <w:lang w:eastAsia="zh-CN"/>
        </w:rPr>
        <w:t>9</w:t>
      </w:r>
      <w:r>
        <w:rPr>
          <w:rFonts w:ascii="仿宋" w:hAnsi="仿宋" w:eastAsia="仿宋"/>
          <w:sz w:val="28"/>
          <w:szCs w:val="28"/>
          <w:lang w:eastAsia="zh-CN"/>
        </w:rPr>
        <w:t>0（</w:t>
      </w:r>
      <w:r>
        <w:rPr>
          <w:rFonts w:hint="eastAsia" w:ascii="仿宋" w:hAnsi="仿宋" w:eastAsia="仿宋"/>
          <w:sz w:val="28"/>
          <w:szCs w:val="28"/>
          <w:lang w:eastAsia="zh-CN"/>
        </w:rPr>
        <w:t>包含9</w:t>
      </w:r>
      <w:r>
        <w:rPr>
          <w:rFonts w:ascii="仿宋" w:hAnsi="仿宋" w:eastAsia="仿宋"/>
          <w:sz w:val="28"/>
          <w:szCs w:val="28"/>
          <w:lang w:eastAsia="zh-CN"/>
        </w:rPr>
        <w:t>0）</w:t>
      </w:r>
      <w:r>
        <w:rPr>
          <w:rFonts w:hint="eastAsia" w:ascii="仿宋" w:hAnsi="仿宋" w:eastAsia="仿宋"/>
          <w:sz w:val="28"/>
          <w:szCs w:val="28"/>
          <w:lang w:eastAsia="zh-CN"/>
        </w:rPr>
        <w:t>为优秀</w:t>
      </w:r>
      <w:r>
        <w:rPr>
          <w:rFonts w:ascii="仿宋" w:hAnsi="仿宋" w:eastAsia="仿宋"/>
          <w:sz w:val="28"/>
          <w:szCs w:val="28"/>
          <w:lang w:eastAsia="zh-CN"/>
        </w:rPr>
        <w:t>；</w:t>
      </w:r>
      <w:r>
        <w:rPr>
          <w:rFonts w:hint="eastAsia" w:ascii="仿宋" w:hAnsi="仿宋" w:eastAsia="仿宋"/>
          <w:sz w:val="28"/>
          <w:szCs w:val="28"/>
          <w:lang w:eastAsia="zh-CN"/>
        </w:rPr>
        <w:t>90-80分（不包含90分）为良好，8</w:t>
      </w:r>
      <w:r>
        <w:rPr>
          <w:rFonts w:ascii="仿宋" w:hAnsi="仿宋" w:eastAsia="仿宋"/>
          <w:sz w:val="28"/>
          <w:szCs w:val="28"/>
          <w:lang w:eastAsia="zh-CN"/>
        </w:rPr>
        <w:t>0</w:t>
      </w:r>
      <w:r>
        <w:rPr>
          <w:rFonts w:hint="eastAsia" w:ascii="仿宋" w:hAnsi="仿宋" w:eastAsia="仿宋"/>
          <w:sz w:val="28"/>
          <w:szCs w:val="28"/>
          <w:lang w:eastAsia="zh-CN"/>
        </w:rPr>
        <w:t>—6</w:t>
      </w:r>
      <w:r>
        <w:rPr>
          <w:rFonts w:ascii="仿宋" w:hAnsi="仿宋" w:eastAsia="仿宋"/>
          <w:sz w:val="28"/>
          <w:szCs w:val="28"/>
          <w:lang w:eastAsia="zh-CN"/>
        </w:rPr>
        <w:t>0</w:t>
      </w:r>
      <w:r>
        <w:rPr>
          <w:rFonts w:hint="eastAsia" w:ascii="仿宋" w:hAnsi="仿宋" w:eastAsia="仿宋"/>
          <w:sz w:val="28"/>
          <w:szCs w:val="28"/>
          <w:lang w:eastAsia="zh-CN"/>
        </w:rPr>
        <w:t>分（不包含80分）为合格，</w:t>
      </w:r>
      <w:r>
        <w:rPr>
          <w:rFonts w:ascii="仿宋" w:hAnsi="仿宋" w:eastAsia="仿宋"/>
          <w:sz w:val="28"/>
          <w:szCs w:val="28"/>
          <w:lang w:eastAsia="zh-CN"/>
        </w:rPr>
        <w:t xml:space="preserve"> </w:t>
      </w:r>
      <w:r>
        <w:rPr>
          <w:rFonts w:hint="eastAsia" w:ascii="仿宋" w:hAnsi="仿宋" w:eastAsia="仿宋"/>
          <w:sz w:val="28"/>
          <w:szCs w:val="28"/>
          <w:lang w:eastAsia="zh-CN"/>
        </w:rPr>
        <w:t>6</w:t>
      </w:r>
      <w:r>
        <w:rPr>
          <w:rFonts w:ascii="仿宋" w:hAnsi="仿宋" w:eastAsia="仿宋"/>
          <w:sz w:val="28"/>
          <w:szCs w:val="28"/>
          <w:lang w:eastAsia="zh-CN"/>
        </w:rPr>
        <w:t>0</w:t>
      </w:r>
      <w:r>
        <w:rPr>
          <w:rFonts w:hint="eastAsia" w:ascii="仿宋" w:hAnsi="仿宋" w:eastAsia="仿宋"/>
          <w:sz w:val="28"/>
          <w:szCs w:val="28"/>
          <w:lang w:eastAsia="zh-CN"/>
        </w:rPr>
        <w:t>分以下（不包含60分），</w:t>
      </w:r>
      <w:r>
        <w:rPr>
          <w:rFonts w:ascii="仿宋" w:hAnsi="仿宋" w:eastAsia="仿宋"/>
          <w:sz w:val="28"/>
          <w:szCs w:val="28"/>
          <w:lang w:eastAsia="zh-CN"/>
        </w:rPr>
        <w:t>为“不合格”。</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2.2.3</w:t>
      </w:r>
      <w:r>
        <w:rPr>
          <w:rFonts w:ascii="仿宋" w:hAnsi="仿宋" w:eastAsia="仿宋"/>
          <w:sz w:val="28"/>
          <w:szCs w:val="28"/>
          <w:lang w:eastAsia="zh-CN"/>
        </w:rPr>
        <w:t>评分标准</w:t>
      </w:r>
    </w:p>
    <w:p>
      <w:pPr>
        <w:spacing w:line="24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考核可根据项目实施需要，在管养服务工作进行过程中进行调整。检查情况及评分结果将以书面形式告知服务单位。</w:t>
      </w:r>
      <w:r>
        <w:rPr>
          <w:rFonts w:hint="eastAsia" w:ascii="仿宋" w:hAnsi="仿宋" w:eastAsia="仿宋"/>
          <w:sz w:val="28"/>
          <w:szCs w:val="28"/>
          <w:lang w:eastAsia="zh-CN"/>
        </w:rPr>
        <w:t>考核从几个维度对运维工作进行评分（详见附件），包括：</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1.资料管理考核：主要考核档案管理制度、档案存放设施、档案分类及归档资料等；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2.物资设备管理考核：主要考核物资设备配备、管理、使用、维护等；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3.制度情况考核：主要考核制度制定及执行情况等；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4.巡查、保洁、绿化、设施维护和安全文明作业等考核：主要考核主体工程养护情况；机电设备维护情况；水库及周边卫生、消杀、绿化情况；安保巡查情况；安全文明作业情况等。</w:t>
      </w:r>
    </w:p>
    <w:p>
      <w:pPr>
        <w:pStyle w:val="3"/>
        <w:spacing w:line="240" w:lineRule="auto"/>
        <w:rPr>
          <w:color w:val="auto"/>
          <w:lang w:eastAsia="zh-CN"/>
        </w:rPr>
      </w:pPr>
      <w:bookmarkStart w:id="9" w:name="_Toc49346108"/>
      <w:r>
        <w:rPr>
          <w:rFonts w:hint="eastAsia"/>
          <w:color w:val="auto"/>
          <w:lang w:eastAsia="zh-CN"/>
        </w:rPr>
        <w:t>3.运维单位奖惩办法</w:t>
      </w:r>
      <w:bookmarkEnd w:id="9"/>
    </w:p>
    <w:p>
      <w:pPr>
        <w:pStyle w:val="4"/>
        <w:spacing w:line="240" w:lineRule="auto"/>
        <w:rPr>
          <w:color w:val="auto"/>
          <w:lang w:eastAsia="zh-CN"/>
        </w:rPr>
      </w:pPr>
      <w:bookmarkStart w:id="10" w:name="_Toc49346109"/>
      <w:r>
        <w:rPr>
          <w:rFonts w:hint="eastAsia"/>
          <w:color w:val="auto"/>
          <w:lang w:eastAsia="zh-CN"/>
        </w:rPr>
        <w:t>3.1奖惩机制</w:t>
      </w:r>
      <w:bookmarkEnd w:id="10"/>
    </w:p>
    <w:p>
      <w:pPr>
        <w:ind w:firstLine="560" w:firstLineChars="200"/>
        <w:rPr>
          <w:rFonts w:ascii="仿宋" w:hAnsi="仿宋" w:eastAsia="仿宋"/>
          <w:sz w:val="28"/>
          <w:szCs w:val="28"/>
          <w:lang w:eastAsia="zh-CN"/>
        </w:rPr>
      </w:pPr>
      <w:r>
        <w:rPr>
          <w:rFonts w:hint="eastAsia" w:ascii="仿宋" w:hAnsi="仿宋" w:eastAsia="仿宋"/>
          <w:sz w:val="28"/>
          <w:szCs w:val="28"/>
          <w:lang w:eastAsia="zh-CN"/>
        </w:rPr>
        <w:t>合同期间，深水深汕水务公司不定期在日常工作、专项检查等工作中抽查运维单位管养工作执行情况，并根据奖惩细则对违规行为进行处罚或对突出表现进行奖励。处罚或奖励均计入当季度（或年度）考核，并从下一次支付款（或年度尾款）中进行扣除或者发放。</w:t>
      </w:r>
    </w:p>
    <w:p>
      <w:pPr>
        <w:pStyle w:val="4"/>
        <w:spacing w:line="240" w:lineRule="auto"/>
        <w:rPr>
          <w:color w:val="auto"/>
          <w:lang w:eastAsia="zh-CN"/>
        </w:rPr>
      </w:pPr>
      <w:bookmarkStart w:id="11" w:name="_Toc49346110"/>
      <w:r>
        <w:rPr>
          <w:rFonts w:hint="eastAsia"/>
          <w:color w:val="auto"/>
          <w:lang w:eastAsia="zh-CN"/>
        </w:rPr>
        <w:t>3.2奖惩标准</w:t>
      </w:r>
      <w:bookmarkEnd w:id="11"/>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奖惩</w:t>
      </w:r>
      <w:r>
        <w:rPr>
          <w:rFonts w:ascii="仿宋" w:hAnsi="仿宋" w:eastAsia="仿宋"/>
          <w:sz w:val="28"/>
          <w:szCs w:val="28"/>
          <w:lang w:eastAsia="zh-CN"/>
        </w:rPr>
        <w:t>可根据项目实施需要，在管养服务工作过程中进行调整。</w:t>
      </w:r>
      <w:r>
        <w:rPr>
          <w:rFonts w:hint="eastAsia" w:ascii="仿宋" w:hAnsi="仿宋" w:eastAsia="仿宋"/>
          <w:sz w:val="28"/>
          <w:szCs w:val="28"/>
          <w:lang w:eastAsia="zh-CN"/>
        </w:rPr>
        <w:t>奖惩</w:t>
      </w:r>
      <w:r>
        <w:rPr>
          <w:rFonts w:ascii="仿宋" w:hAnsi="仿宋" w:eastAsia="仿宋"/>
          <w:sz w:val="28"/>
          <w:szCs w:val="28"/>
          <w:lang w:eastAsia="zh-CN"/>
        </w:rPr>
        <w:t>情况及结果将以书面形式告知服务单位</w:t>
      </w:r>
      <w:r>
        <w:rPr>
          <w:rFonts w:hint="eastAsia" w:ascii="仿宋" w:hAnsi="仿宋" w:eastAsia="仿宋"/>
          <w:sz w:val="28"/>
          <w:szCs w:val="28"/>
          <w:lang w:eastAsia="zh-CN"/>
        </w:rPr>
        <w:t>。奖惩标准参照考核标准制定实施（详见附件），包括：</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1.资料管理：主要包括档案管理制度、档案存放设施、档案分类及归档资料等；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2.物资设备管理：主要包括物资设备配备、管理、使用、维护等；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3.制度情况：主要包括制度制定及执行情况等；</w:t>
      </w:r>
    </w:p>
    <w:p>
      <w:pPr>
        <w:ind w:firstLine="560" w:firstLineChars="200"/>
        <w:rPr>
          <w:rFonts w:ascii="仿宋" w:hAnsi="仿宋" w:eastAsia="仿宋"/>
          <w:sz w:val="28"/>
          <w:szCs w:val="28"/>
          <w:lang w:eastAsia="zh-CN"/>
        </w:rPr>
      </w:pPr>
      <w:r>
        <w:rPr>
          <w:rFonts w:hint="eastAsia" w:ascii="仿宋" w:hAnsi="仿宋" w:eastAsia="仿宋"/>
          <w:sz w:val="28"/>
          <w:szCs w:val="28"/>
          <w:lang w:eastAsia="zh-CN"/>
        </w:rPr>
        <w:t>4.巡查、保洁、绿化、设施维护和安全文明作业等：主要包括主体工程养护情况；机电设备维护情况；水库及周边卫生、消杀、绿化情况；安保巡查情况；安全文明作业情况等。</w:t>
      </w:r>
    </w:p>
    <w:p>
      <w:pPr>
        <w:ind w:firstLine="560" w:firstLineChars="200"/>
        <w:rPr>
          <w:rFonts w:ascii="仿宋" w:hAnsi="仿宋" w:eastAsia="仿宋"/>
          <w:sz w:val="28"/>
          <w:szCs w:val="28"/>
          <w:lang w:eastAsia="zh-CN"/>
        </w:rPr>
      </w:pPr>
    </w:p>
    <w:p>
      <w:pPr>
        <w:ind w:firstLine="560" w:firstLineChars="200"/>
        <w:rPr>
          <w:rFonts w:ascii="仿宋" w:hAnsi="仿宋" w:eastAsia="仿宋"/>
          <w:sz w:val="28"/>
          <w:szCs w:val="28"/>
          <w:lang w:eastAsia="zh-CN"/>
        </w:rPr>
      </w:pPr>
    </w:p>
    <w:p>
      <w:pPr>
        <w:ind w:firstLine="560" w:firstLineChars="200"/>
        <w:rPr>
          <w:rFonts w:ascii="仿宋" w:hAnsi="仿宋" w:eastAsia="仿宋"/>
          <w:sz w:val="28"/>
          <w:szCs w:val="28"/>
          <w:lang w:eastAsia="zh-CN"/>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720" w:num="1"/>
          <w:docGrid w:type="lines" w:linePitch="312" w:charSpace="0"/>
        </w:sectPr>
      </w:pPr>
      <w:r>
        <w:rPr>
          <w:rFonts w:hint="eastAsia" w:ascii="仿宋" w:hAnsi="仿宋" w:eastAsia="仿宋"/>
          <w:sz w:val="28"/>
          <w:szCs w:val="28"/>
          <w:lang w:eastAsia="zh-CN"/>
        </w:rPr>
        <w:t>附表：考核奖惩细则</w:t>
      </w:r>
    </w:p>
    <w:p>
      <w:pPr>
        <w:jc w:val="both"/>
        <w:rPr>
          <w:rFonts w:ascii="宋体" w:hAnsi="宋体" w:cs="宋体"/>
          <w:sz w:val="24"/>
          <w:szCs w:val="24"/>
          <w:lang w:val="zh-CN" w:eastAsia="zh-CN" w:bidi="zh-CN"/>
        </w:rPr>
      </w:pPr>
    </w:p>
    <w:sectPr>
      <w:footerReference r:id="rId11" w:type="default"/>
      <w:pgSz w:w="16840" w:h="11910" w:orient="landscape"/>
      <w:pgMar w:top="1701" w:right="1418" w:bottom="1701" w:left="1418" w:header="0" w:footer="1007" w:gutter="0"/>
      <w:pgNumType w:start="1"/>
      <w:cols w:space="720" w:num="1"/>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ind w:left="0"/>
      <w:rPr>
        <w:sz w:val="20"/>
      </w:rPr>
    </w:pPr>
    <w:r>
      <mc:AlternateContent>
        <mc:Choice Requires="wps">
          <w:drawing>
            <wp:anchor distT="0" distB="0" distL="114300" distR="114300" simplePos="0" relativeHeight="251659264" behindDoc="1" locked="0" layoutInCell="1" allowOverlap="1">
              <wp:simplePos x="0" y="0"/>
              <wp:positionH relativeFrom="page">
                <wp:posOffset>3766185</wp:posOffset>
              </wp:positionH>
              <wp:positionV relativeFrom="page">
                <wp:posOffset>9912985</wp:posOffset>
              </wp:positionV>
              <wp:extent cx="211455" cy="160655"/>
              <wp:effectExtent l="0" t="0" r="0" b="0"/>
              <wp:wrapNone/>
              <wp:docPr id="2" name="Text Box 1"/>
              <wp:cNvGraphicFramePr/>
              <a:graphic xmlns:a="http://schemas.openxmlformats.org/drawingml/2006/main">
                <a:graphicData uri="http://schemas.microsoft.com/office/word/2010/wordprocessingShape">
                  <wps:wsp>
                    <wps:cNvSpPr txBox="1">
                      <a:spLocks noChangeArrowheads="1"/>
                    </wps:cNvSpPr>
                    <wps:spPr bwMode="auto">
                      <a:xfrm>
                        <a:off x="0" y="0"/>
                        <a:ext cx="211455" cy="160655"/>
                      </a:xfrm>
                      <a:prstGeom prst="rect">
                        <a:avLst/>
                      </a:prstGeom>
                      <a:noFill/>
                      <a:ln>
                        <a:noFill/>
                      </a:ln>
                      <a:effectLst/>
                    </wps:spPr>
                    <wps:txbx>
                      <w:txbxContent>
                        <w:p>
                          <w:pPr>
                            <w:spacing w:before="9"/>
                            <w:ind w:left="20"/>
                            <w:rPr>
                              <w:sz w:val="18"/>
                            </w:rPr>
                          </w:pPr>
                          <w:r>
                            <w:rPr>
                              <w:sz w:val="18"/>
                            </w:rPr>
                            <w:t xml:space="preserve">- </w:t>
                          </w:r>
                          <w:r>
                            <w:fldChar w:fldCharType="begin"/>
                          </w:r>
                          <w:r>
                            <w:rPr>
                              <w:rFonts w:ascii="Times New Roman"/>
                              <w:position w:val="1"/>
                              <w:sz w:val="18"/>
                            </w:rPr>
                            <w:instrText xml:space="preserve"> PAGE </w:instrText>
                          </w:r>
                          <w:r>
                            <w:fldChar w:fldCharType="separate"/>
                          </w:r>
                          <w:r>
                            <w:rPr>
                              <w:rFonts w:ascii="Times New Roman"/>
                              <w:position w:val="1"/>
                              <w:sz w:val="18"/>
                            </w:rPr>
                            <w:t>21</w:t>
                          </w:r>
                          <w:r>
                            <w:fldChar w:fldCharType="end"/>
                          </w:r>
                          <w:r>
                            <w:rPr>
                              <w:rFonts w:ascii="Times New Roman"/>
                              <w:position w:val="1"/>
                              <w:sz w:val="18"/>
                            </w:rPr>
                            <w:t xml:space="preserve"> </w:t>
                          </w:r>
                          <w:r>
                            <w:rPr>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296.55pt;margin-top:780.55pt;height:12.65pt;width:16.65pt;mso-position-horizontal-relative:page;mso-position-vertical-relative:page;z-index:-251657216;mso-width-relative:page;mso-height-relative:page;" filled="f" stroked="f" coordsize="21600,21600" o:gfxdata="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ZdKqPaAAAADQEAAA8AAAAAAAAAAQAgAAAAIgAAAGRycy9k&#10;b3ducmV2LnhtbFBLAQIUABQAAAAIAIdO4kBcvALLAAIAABEEAAAOAAAAAAAAAAEAIAAAACkBAABk&#10;cnMvZTJvRG9jLnhtbFBLBQYAAAAABgAGAFkBAACbBQAAAAA=&#10;">
              <v:fill on="f" focussize="0,0"/>
              <v:stroke on="f"/>
              <v:imagedata o:title=""/>
              <o:lock v:ext="edit" aspectratio="f"/>
              <v:textbox inset="0mm,0mm,0mm,0mm">
                <w:txbxContent>
                  <w:p>
                    <w:pPr>
                      <w:spacing w:before="9"/>
                      <w:ind w:left="20"/>
                      <w:rPr>
                        <w:sz w:val="18"/>
                      </w:rPr>
                    </w:pPr>
                    <w:r>
                      <w:rPr>
                        <w:sz w:val="18"/>
                      </w:rPr>
                      <w:t xml:space="preserve">- </w:t>
                    </w:r>
                    <w:r>
                      <w:fldChar w:fldCharType="begin"/>
                    </w:r>
                    <w:r>
                      <w:rPr>
                        <w:rFonts w:ascii="Times New Roman"/>
                        <w:position w:val="1"/>
                        <w:sz w:val="18"/>
                      </w:rPr>
                      <w:instrText xml:space="preserve"> PAGE </w:instrText>
                    </w:r>
                    <w:r>
                      <w:fldChar w:fldCharType="separate"/>
                    </w:r>
                    <w:r>
                      <w:rPr>
                        <w:rFonts w:ascii="Times New Roman"/>
                        <w:position w:val="1"/>
                        <w:sz w:val="18"/>
                      </w:rPr>
                      <w:t>21</w:t>
                    </w:r>
                    <w:r>
                      <w:fldChar w:fldCharType="end"/>
                    </w:r>
                    <w:r>
                      <w:rPr>
                        <w:rFonts w:ascii="Times New Roman"/>
                        <w:position w:val="1"/>
                        <w:sz w:val="18"/>
                      </w:rPr>
                      <w:t xml:space="preserve"> </w:t>
                    </w:r>
                    <w:r>
                      <w:rPr>
                        <w:sz w:val="18"/>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pPr>
      <w:r>
        <w:separator/>
      </w:r>
    </w:p>
  </w:footnote>
  <w:footnote w:type="continuationSeparator" w:id="1">
    <w:p>
      <w:pPr>
        <w:spacing w:before="0" w:after="0"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95F740"/>
    <w:multiLevelType w:val="singleLevel"/>
    <w:tmpl w:val="1B95F740"/>
    <w:lvl w:ilvl="0" w:tentative="0">
      <w:start w:val="4"/>
      <w:numFmt w:val="decimal"/>
      <w:suff w:val="nothing"/>
      <w:lvlText w:val="%1、"/>
      <w:lvlJc w:val="left"/>
    </w:lvl>
  </w:abstractNum>
  <w:abstractNum w:abstractNumId="1">
    <w:nsid w:val="398F5197"/>
    <w:multiLevelType w:val="multilevel"/>
    <w:tmpl w:val="398F5197"/>
    <w:lvl w:ilvl="0" w:tentative="0">
      <w:start w:val="1"/>
      <w:numFmt w:val="decimal"/>
      <w:lvlText w:val="（%1）"/>
      <w:lvlJc w:val="left"/>
      <w:pPr>
        <w:ind w:left="1199" w:hanging="601"/>
      </w:pPr>
      <w:rPr>
        <w:rFonts w:hint="default" w:ascii="宋体" w:hAnsi="宋体" w:eastAsia="宋体" w:cs="宋体"/>
        <w:b w:val="0"/>
        <w:spacing w:val="-1"/>
        <w:w w:val="100"/>
        <w:sz w:val="22"/>
        <w:szCs w:val="22"/>
        <w:lang w:val="zh-CN" w:eastAsia="zh-CN" w:bidi="zh-CN"/>
      </w:rPr>
    </w:lvl>
    <w:lvl w:ilvl="1" w:tentative="0">
      <w:start w:val="1"/>
      <w:numFmt w:val="decimal"/>
      <w:lvlText w:val="（%2）"/>
      <w:lvlJc w:val="left"/>
      <w:pPr>
        <w:ind w:left="238" w:hanging="60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2127" w:hanging="601"/>
      </w:pPr>
      <w:rPr>
        <w:rFonts w:hint="default"/>
        <w:lang w:val="zh-CN" w:eastAsia="zh-CN" w:bidi="zh-CN"/>
      </w:rPr>
    </w:lvl>
    <w:lvl w:ilvl="3" w:tentative="0">
      <w:start w:val="0"/>
      <w:numFmt w:val="bullet"/>
      <w:lvlText w:val="•"/>
      <w:lvlJc w:val="left"/>
      <w:pPr>
        <w:ind w:left="3054" w:hanging="601"/>
      </w:pPr>
      <w:rPr>
        <w:rFonts w:hint="default"/>
        <w:lang w:val="zh-CN" w:eastAsia="zh-CN" w:bidi="zh-CN"/>
      </w:rPr>
    </w:lvl>
    <w:lvl w:ilvl="4" w:tentative="0">
      <w:start w:val="0"/>
      <w:numFmt w:val="bullet"/>
      <w:lvlText w:val="•"/>
      <w:lvlJc w:val="left"/>
      <w:pPr>
        <w:ind w:left="3982" w:hanging="601"/>
      </w:pPr>
      <w:rPr>
        <w:rFonts w:hint="default"/>
        <w:lang w:val="zh-CN" w:eastAsia="zh-CN" w:bidi="zh-CN"/>
      </w:rPr>
    </w:lvl>
    <w:lvl w:ilvl="5" w:tentative="0">
      <w:start w:val="0"/>
      <w:numFmt w:val="bullet"/>
      <w:lvlText w:val="•"/>
      <w:lvlJc w:val="left"/>
      <w:pPr>
        <w:ind w:left="4909" w:hanging="601"/>
      </w:pPr>
      <w:rPr>
        <w:rFonts w:hint="default"/>
        <w:lang w:val="zh-CN" w:eastAsia="zh-CN" w:bidi="zh-CN"/>
      </w:rPr>
    </w:lvl>
    <w:lvl w:ilvl="6" w:tentative="0">
      <w:start w:val="0"/>
      <w:numFmt w:val="bullet"/>
      <w:lvlText w:val="•"/>
      <w:lvlJc w:val="left"/>
      <w:pPr>
        <w:ind w:left="5836" w:hanging="601"/>
      </w:pPr>
      <w:rPr>
        <w:rFonts w:hint="default"/>
        <w:lang w:val="zh-CN" w:eastAsia="zh-CN" w:bidi="zh-CN"/>
      </w:rPr>
    </w:lvl>
    <w:lvl w:ilvl="7" w:tentative="0">
      <w:start w:val="0"/>
      <w:numFmt w:val="bullet"/>
      <w:lvlText w:val="•"/>
      <w:lvlJc w:val="left"/>
      <w:pPr>
        <w:ind w:left="6764" w:hanging="601"/>
      </w:pPr>
      <w:rPr>
        <w:rFonts w:hint="default"/>
        <w:lang w:val="zh-CN" w:eastAsia="zh-CN" w:bidi="zh-CN"/>
      </w:rPr>
    </w:lvl>
    <w:lvl w:ilvl="8" w:tentative="0">
      <w:start w:val="0"/>
      <w:numFmt w:val="bullet"/>
      <w:lvlText w:val="•"/>
      <w:lvlJc w:val="left"/>
      <w:pPr>
        <w:ind w:left="7691" w:hanging="601"/>
      </w:pPr>
      <w:rPr>
        <w:rFonts w:hint="default"/>
        <w:lang w:val="zh-CN" w:eastAsia="zh-CN" w:bidi="zh-CN"/>
      </w:rPr>
    </w:lvl>
  </w:abstractNum>
  <w:abstractNum w:abstractNumId="2">
    <w:nsid w:val="470F3F10"/>
    <w:multiLevelType w:val="multilevel"/>
    <w:tmpl w:val="470F3F10"/>
    <w:lvl w:ilvl="0" w:tentative="0">
      <w:start w:val="1"/>
      <w:numFmt w:val="decimal"/>
      <w:lvlText w:val="（%1）"/>
      <w:lvlJc w:val="left"/>
      <w:pPr>
        <w:ind w:left="1310" w:hanging="601"/>
      </w:pPr>
      <w:rPr>
        <w:rFonts w:hint="default" w:ascii="宋体" w:hAnsi="宋体" w:eastAsia="宋体" w:cs="宋体"/>
        <w:spacing w:val="-1"/>
        <w:w w:val="100"/>
        <w:sz w:val="22"/>
        <w:szCs w:val="22"/>
        <w:lang w:val="zh-CN" w:eastAsia="zh-CN" w:bidi="zh-CN"/>
      </w:rPr>
    </w:lvl>
    <w:lvl w:ilvl="1" w:tentative="0">
      <w:start w:val="0"/>
      <w:numFmt w:val="bullet"/>
      <w:lvlText w:val="•"/>
      <w:lvlJc w:val="left"/>
      <w:pPr>
        <w:ind w:left="2133" w:hanging="601"/>
      </w:pPr>
      <w:rPr>
        <w:rFonts w:hint="default"/>
        <w:lang w:val="zh-CN" w:eastAsia="zh-CN" w:bidi="zh-CN"/>
      </w:rPr>
    </w:lvl>
    <w:lvl w:ilvl="2" w:tentative="0">
      <w:start w:val="0"/>
      <w:numFmt w:val="bullet"/>
      <w:lvlText w:val="•"/>
      <w:lvlJc w:val="left"/>
      <w:pPr>
        <w:ind w:left="2956" w:hanging="601"/>
      </w:pPr>
      <w:rPr>
        <w:rFonts w:hint="default"/>
        <w:lang w:val="zh-CN" w:eastAsia="zh-CN" w:bidi="zh-CN"/>
      </w:rPr>
    </w:lvl>
    <w:lvl w:ilvl="3" w:tentative="0">
      <w:start w:val="0"/>
      <w:numFmt w:val="bullet"/>
      <w:lvlText w:val="•"/>
      <w:lvlJc w:val="left"/>
      <w:pPr>
        <w:ind w:left="3778" w:hanging="601"/>
      </w:pPr>
      <w:rPr>
        <w:rFonts w:hint="default"/>
        <w:lang w:val="zh-CN" w:eastAsia="zh-CN" w:bidi="zh-CN"/>
      </w:rPr>
    </w:lvl>
    <w:lvl w:ilvl="4" w:tentative="0">
      <w:start w:val="0"/>
      <w:numFmt w:val="bullet"/>
      <w:lvlText w:val="•"/>
      <w:lvlJc w:val="left"/>
      <w:pPr>
        <w:ind w:left="4601" w:hanging="601"/>
      </w:pPr>
      <w:rPr>
        <w:rFonts w:hint="default"/>
        <w:lang w:val="zh-CN" w:eastAsia="zh-CN" w:bidi="zh-CN"/>
      </w:rPr>
    </w:lvl>
    <w:lvl w:ilvl="5" w:tentative="0">
      <w:start w:val="0"/>
      <w:numFmt w:val="bullet"/>
      <w:lvlText w:val="•"/>
      <w:lvlJc w:val="left"/>
      <w:pPr>
        <w:ind w:left="5424" w:hanging="601"/>
      </w:pPr>
      <w:rPr>
        <w:rFonts w:hint="default"/>
        <w:lang w:val="zh-CN" w:eastAsia="zh-CN" w:bidi="zh-CN"/>
      </w:rPr>
    </w:lvl>
    <w:lvl w:ilvl="6" w:tentative="0">
      <w:start w:val="0"/>
      <w:numFmt w:val="bullet"/>
      <w:lvlText w:val="•"/>
      <w:lvlJc w:val="left"/>
      <w:pPr>
        <w:ind w:left="6246" w:hanging="601"/>
      </w:pPr>
      <w:rPr>
        <w:rFonts w:hint="default"/>
        <w:lang w:val="zh-CN" w:eastAsia="zh-CN" w:bidi="zh-CN"/>
      </w:rPr>
    </w:lvl>
    <w:lvl w:ilvl="7" w:tentative="0">
      <w:start w:val="0"/>
      <w:numFmt w:val="bullet"/>
      <w:lvlText w:val="•"/>
      <w:lvlJc w:val="left"/>
      <w:pPr>
        <w:ind w:left="7069" w:hanging="601"/>
      </w:pPr>
      <w:rPr>
        <w:rFonts w:hint="default"/>
        <w:lang w:val="zh-CN" w:eastAsia="zh-CN" w:bidi="zh-CN"/>
      </w:rPr>
    </w:lvl>
    <w:lvl w:ilvl="8" w:tentative="0">
      <w:start w:val="0"/>
      <w:numFmt w:val="bullet"/>
      <w:lvlText w:val="•"/>
      <w:lvlJc w:val="left"/>
      <w:pPr>
        <w:ind w:left="7892" w:hanging="601"/>
      </w:pPr>
      <w:rPr>
        <w:rFonts w:hint="default"/>
        <w:lang w:val="zh-CN" w:eastAsia="zh-CN" w:bidi="zh-C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dit="readOnly" w:formatting="1"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472"/>
    <w:rsid w:val="0000390A"/>
    <w:rsid w:val="00010E6F"/>
    <w:rsid w:val="00016A43"/>
    <w:rsid w:val="000213A2"/>
    <w:rsid w:val="000213CF"/>
    <w:rsid w:val="00032BC6"/>
    <w:rsid w:val="00032BDB"/>
    <w:rsid w:val="00036CEF"/>
    <w:rsid w:val="000444F9"/>
    <w:rsid w:val="0004681A"/>
    <w:rsid w:val="00054E1A"/>
    <w:rsid w:val="0007144B"/>
    <w:rsid w:val="00074DBD"/>
    <w:rsid w:val="0008071D"/>
    <w:rsid w:val="000829B7"/>
    <w:rsid w:val="00085C83"/>
    <w:rsid w:val="0009098B"/>
    <w:rsid w:val="00091997"/>
    <w:rsid w:val="00096D3A"/>
    <w:rsid w:val="000A2BED"/>
    <w:rsid w:val="000A7EA3"/>
    <w:rsid w:val="000B62C2"/>
    <w:rsid w:val="000C7C91"/>
    <w:rsid w:val="000D4EFE"/>
    <w:rsid w:val="000D63BA"/>
    <w:rsid w:val="00100C31"/>
    <w:rsid w:val="0011103F"/>
    <w:rsid w:val="0011112E"/>
    <w:rsid w:val="00113629"/>
    <w:rsid w:val="0012266C"/>
    <w:rsid w:val="00147CEE"/>
    <w:rsid w:val="00150631"/>
    <w:rsid w:val="00150805"/>
    <w:rsid w:val="00150E88"/>
    <w:rsid w:val="00153007"/>
    <w:rsid w:val="001619A6"/>
    <w:rsid w:val="00165C92"/>
    <w:rsid w:val="00186E07"/>
    <w:rsid w:val="0019062F"/>
    <w:rsid w:val="00193DE1"/>
    <w:rsid w:val="001A0066"/>
    <w:rsid w:val="001A1505"/>
    <w:rsid w:val="001B1BFD"/>
    <w:rsid w:val="001B3FA2"/>
    <w:rsid w:val="001B6E81"/>
    <w:rsid w:val="001B7842"/>
    <w:rsid w:val="001C0BFF"/>
    <w:rsid w:val="001D28B2"/>
    <w:rsid w:val="001D59C9"/>
    <w:rsid w:val="001D6222"/>
    <w:rsid w:val="001F4C72"/>
    <w:rsid w:val="00205227"/>
    <w:rsid w:val="00206F57"/>
    <w:rsid w:val="0021242E"/>
    <w:rsid w:val="00215171"/>
    <w:rsid w:val="002156E3"/>
    <w:rsid w:val="00217F44"/>
    <w:rsid w:val="00221176"/>
    <w:rsid w:val="0023073A"/>
    <w:rsid w:val="0025452F"/>
    <w:rsid w:val="002702F9"/>
    <w:rsid w:val="00276727"/>
    <w:rsid w:val="0028145F"/>
    <w:rsid w:val="00282E03"/>
    <w:rsid w:val="00294EBE"/>
    <w:rsid w:val="002A42CE"/>
    <w:rsid w:val="002D4A9D"/>
    <w:rsid w:val="002D5659"/>
    <w:rsid w:val="002D6114"/>
    <w:rsid w:val="002E1472"/>
    <w:rsid w:val="002E26D9"/>
    <w:rsid w:val="002E52A5"/>
    <w:rsid w:val="002F336D"/>
    <w:rsid w:val="002F6A97"/>
    <w:rsid w:val="00303BAE"/>
    <w:rsid w:val="003049F1"/>
    <w:rsid w:val="00321E96"/>
    <w:rsid w:val="003231F3"/>
    <w:rsid w:val="003242CD"/>
    <w:rsid w:val="00333455"/>
    <w:rsid w:val="0034057C"/>
    <w:rsid w:val="0034735B"/>
    <w:rsid w:val="0034752F"/>
    <w:rsid w:val="00351695"/>
    <w:rsid w:val="00353482"/>
    <w:rsid w:val="003535A0"/>
    <w:rsid w:val="0037192A"/>
    <w:rsid w:val="00375B35"/>
    <w:rsid w:val="00381E68"/>
    <w:rsid w:val="003834EF"/>
    <w:rsid w:val="00386A3E"/>
    <w:rsid w:val="00392B98"/>
    <w:rsid w:val="003B13DE"/>
    <w:rsid w:val="003B3CB9"/>
    <w:rsid w:val="003C0D38"/>
    <w:rsid w:val="003C3937"/>
    <w:rsid w:val="003C4500"/>
    <w:rsid w:val="003C590E"/>
    <w:rsid w:val="003D3F11"/>
    <w:rsid w:val="003D7242"/>
    <w:rsid w:val="003D767C"/>
    <w:rsid w:val="003F0F62"/>
    <w:rsid w:val="003F542C"/>
    <w:rsid w:val="00413221"/>
    <w:rsid w:val="00425F1F"/>
    <w:rsid w:val="00427678"/>
    <w:rsid w:val="00434236"/>
    <w:rsid w:val="00436CD5"/>
    <w:rsid w:val="004471D4"/>
    <w:rsid w:val="00450E19"/>
    <w:rsid w:val="004511E3"/>
    <w:rsid w:val="004556EA"/>
    <w:rsid w:val="0045653B"/>
    <w:rsid w:val="004609A0"/>
    <w:rsid w:val="0047022A"/>
    <w:rsid w:val="00476A31"/>
    <w:rsid w:val="00477F4E"/>
    <w:rsid w:val="00482934"/>
    <w:rsid w:val="004859C4"/>
    <w:rsid w:val="00491035"/>
    <w:rsid w:val="004A21AA"/>
    <w:rsid w:val="004B2FEF"/>
    <w:rsid w:val="004B4749"/>
    <w:rsid w:val="004B6180"/>
    <w:rsid w:val="004B746E"/>
    <w:rsid w:val="00501773"/>
    <w:rsid w:val="00501A17"/>
    <w:rsid w:val="005134D2"/>
    <w:rsid w:val="00531964"/>
    <w:rsid w:val="00534A8A"/>
    <w:rsid w:val="0055112B"/>
    <w:rsid w:val="00551A32"/>
    <w:rsid w:val="005576F5"/>
    <w:rsid w:val="00566D86"/>
    <w:rsid w:val="0056776D"/>
    <w:rsid w:val="0057029B"/>
    <w:rsid w:val="0057229B"/>
    <w:rsid w:val="00587F74"/>
    <w:rsid w:val="005915A2"/>
    <w:rsid w:val="00594C39"/>
    <w:rsid w:val="005B6129"/>
    <w:rsid w:val="005C05AF"/>
    <w:rsid w:val="005C2EA7"/>
    <w:rsid w:val="0060091A"/>
    <w:rsid w:val="0060604B"/>
    <w:rsid w:val="00623610"/>
    <w:rsid w:val="00624630"/>
    <w:rsid w:val="00624A85"/>
    <w:rsid w:val="00655AF2"/>
    <w:rsid w:val="00656F86"/>
    <w:rsid w:val="0066193A"/>
    <w:rsid w:val="00674A39"/>
    <w:rsid w:val="00680473"/>
    <w:rsid w:val="006835E6"/>
    <w:rsid w:val="00683659"/>
    <w:rsid w:val="00696BBA"/>
    <w:rsid w:val="0069769C"/>
    <w:rsid w:val="006A7069"/>
    <w:rsid w:val="006C22A1"/>
    <w:rsid w:val="006C5698"/>
    <w:rsid w:val="006D1BB3"/>
    <w:rsid w:val="006D4DD6"/>
    <w:rsid w:val="006E3BD2"/>
    <w:rsid w:val="006E5021"/>
    <w:rsid w:val="006E7439"/>
    <w:rsid w:val="00711C17"/>
    <w:rsid w:val="00714F59"/>
    <w:rsid w:val="00730366"/>
    <w:rsid w:val="00730789"/>
    <w:rsid w:val="00732B86"/>
    <w:rsid w:val="007347A0"/>
    <w:rsid w:val="00746797"/>
    <w:rsid w:val="00753241"/>
    <w:rsid w:val="007760E9"/>
    <w:rsid w:val="007A1AC9"/>
    <w:rsid w:val="007A2ACE"/>
    <w:rsid w:val="007B3E60"/>
    <w:rsid w:val="007B5919"/>
    <w:rsid w:val="007B69F1"/>
    <w:rsid w:val="007E0873"/>
    <w:rsid w:val="007E74C0"/>
    <w:rsid w:val="007F3E19"/>
    <w:rsid w:val="007F5A51"/>
    <w:rsid w:val="00800EA1"/>
    <w:rsid w:val="00813BE6"/>
    <w:rsid w:val="00815BFC"/>
    <w:rsid w:val="00822B14"/>
    <w:rsid w:val="00826B12"/>
    <w:rsid w:val="00826C07"/>
    <w:rsid w:val="00840D38"/>
    <w:rsid w:val="00845092"/>
    <w:rsid w:val="00846F94"/>
    <w:rsid w:val="00861B75"/>
    <w:rsid w:val="008647D4"/>
    <w:rsid w:val="00865C90"/>
    <w:rsid w:val="00867FD1"/>
    <w:rsid w:val="00880538"/>
    <w:rsid w:val="00883E30"/>
    <w:rsid w:val="00884496"/>
    <w:rsid w:val="00884D0F"/>
    <w:rsid w:val="008A2658"/>
    <w:rsid w:val="008A37A4"/>
    <w:rsid w:val="008B2FC4"/>
    <w:rsid w:val="008C20DD"/>
    <w:rsid w:val="008D1344"/>
    <w:rsid w:val="008D2C6C"/>
    <w:rsid w:val="008D2D2C"/>
    <w:rsid w:val="008D3C62"/>
    <w:rsid w:val="008E1E4B"/>
    <w:rsid w:val="008E2B0C"/>
    <w:rsid w:val="008E54FD"/>
    <w:rsid w:val="008F3F6E"/>
    <w:rsid w:val="008F6123"/>
    <w:rsid w:val="008F6E03"/>
    <w:rsid w:val="00900ACD"/>
    <w:rsid w:val="0090376E"/>
    <w:rsid w:val="00912347"/>
    <w:rsid w:val="00916F47"/>
    <w:rsid w:val="00921988"/>
    <w:rsid w:val="009224EA"/>
    <w:rsid w:val="00937A70"/>
    <w:rsid w:val="009514DE"/>
    <w:rsid w:val="0095526C"/>
    <w:rsid w:val="009673C7"/>
    <w:rsid w:val="00975D12"/>
    <w:rsid w:val="00992781"/>
    <w:rsid w:val="009A2910"/>
    <w:rsid w:val="009F23A9"/>
    <w:rsid w:val="009F476E"/>
    <w:rsid w:val="009F7AF2"/>
    <w:rsid w:val="00A01494"/>
    <w:rsid w:val="00A102A9"/>
    <w:rsid w:val="00A1196C"/>
    <w:rsid w:val="00A215AF"/>
    <w:rsid w:val="00A221F3"/>
    <w:rsid w:val="00A348CC"/>
    <w:rsid w:val="00A408A4"/>
    <w:rsid w:val="00A464E6"/>
    <w:rsid w:val="00A46AFB"/>
    <w:rsid w:val="00A470F6"/>
    <w:rsid w:val="00A674B8"/>
    <w:rsid w:val="00A70F86"/>
    <w:rsid w:val="00A70F92"/>
    <w:rsid w:val="00A7635C"/>
    <w:rsid w:val="00A859F5"/>
    <w:rsid w:val="00A953CB"/>
    <w:rsid w:val="00AA060E"/>
    <w:rsid w:val="00AA1A95"/>
    <w:rsid w:val="00AB688D"/>
    <w:rsid w:val="00AC20EB"/>
    <w:rsid w:val="00AC3E2D"/>
    <w:rsid w:val="00AC69F7"/>
    <w:rsid w:val="00AD3659"/>
    <w:rsid w:val="00AE227B"/>
    <w:rsid w:val="00AF0025"/>
    <w:rsid w:val="00AF1953"/>
    <w:rsid w:val="00B116B0"/>
    <w:rsid w:val="00B1283E"/>
    <w:rsid w:val="00B1379A"/>
    <w:rsid w:val="00B24C63"/>
    <w:rsid w:val="00B257FD"/>
    <w:rsid w:val="00B371AF"/>
    <w:rsid w:val="00B53558"/>
    <w:rsid w:val="00B66DCD"/>
    <w:rsid w:val="00B80EF5"/>
    <w:rsid w:val="00B829CC"/>
    <w:rsid w:val="00B938DC"/>
    <w:rsid w:val="00B975ED"/>
    <w:rsid w:val="00BA7B11"/>
    <w:rsid w:val="00BB514E"/>
    <w:rsid w:val="00BB7903"/>
    <w:rsid w:val="00BC1066"/>
    <w:rsid w:val="00BC42F4"/>
    <w:rsid w:val="00BD0671"/>
    <w:rsid w:val="00BD2E75"/>
    <w:rsid w:val="00BD6D5C"/>
    <w:rsid w:val="00BE15E9"/>
    <w:rsid w:val="00BE4F14"/>
    <w:rsid w:val="00BE6E82"/>
    <w:rsid w:val="00BE780B"/>
    <w:rsid w:val="00BF2251"/>
    <w:rsid w:val="00BF3FA2"/>
    <w:rsid w:val="00BF4947"/>
    <w:rsid w:val="00C216D2"/>
    <w:rsid w:val="00C32C88"/>
    <w:rsid w:val="00C3476A"/>
    <w:rsid w:val="00C40E58"/>
    <w:rsid w:val="00C4481D"/>
    <w:rsid w:val="00C4638B"/>
    <w:rsid w:val="00C4732C"/>
    <w:rsid w:val="00C53564"/>
    <w:rsid w:val="00C56373"/>
    <w:rsid w:val="00C563DD"/>
    <w:rsid w:val="00C76942"/>
    <w:rsid w:val="00C864D1"/>
    <w:rsid w:val="00C946EF"/>
    <w:rsid w:val="00CA21AE"/>
    <w:rsid w:val="00CA26AA"/>
    <w:rsid w:val="00CB6329"/>
    <w:rsid w:val="00CB79C0"/>
    <w:rsid w:val="00CC3515"/>
    <w:rsid w:val="00CE366E"/>
    <w:rsid w:val="00CE409B"/>
    <w:rsid w:val="00CE4F43"/>
    <w:rsid w:val="00CF0460"/>
    <w:rsid w:val="00CF57D4"/>
    <w:rsid w:val="00D00684"/>
    <w:rsid w:val="00D14DD3"/>
    <w:rsid w:val="00D203AF"/>
    <w:rsid w:val="00D22A68"/>
    <w:rsid w:val="00D22ECF"/>
    <w:rsid w:val="00D53B31"/>
    <w:rsid w:val="00D54F3D"/>
    <w:rsid w:val="00D67186"/>
    <w:rsid w:val="00D72BC0"/>
    <w:rsid w:val="00D7597E"/>
    <w:rsid w:val="00D80DC7"/>
    <w:rsid w:val="00D94609"/>
    <w:rsid w:val="00D976BC"/>
    <w:rsid w:val="00DA792F"/>
    <w:rsid w:val="00DA79AE"/>
    <w:rsid w:val="00DB0D86"/>
    <w:rsid w:val="00DB0EB0"/>
    <w:rsid w:val="00DD0686"/>
    <w:rsid w:val="00DE01D8"/>
    <w:rsid w:val="00DE07B8"/>
    <w:rsid w:val="00DE46ED"/>
    <w:rsid w:val="00DE5095"/>
    <w:rsid w:val="00E073B9"/>
    <w:rsid w:val="00E07BE2"/>
    <w:rsid w:val="00E1050F"/>
    <w:rsid w:val="00E14475"/>
    <w:rsid w:val="00E214F8"/>
    <w:rsid w:val="00E21A9C"/>
    <w:rsid w:val="00E30360"/>
    <w:rsid w:val="00E31BD9"/>
    <w:rsid w:val="00E32EBF"/>
    <w:rsid w:val="00E33E98"/>
    <w:rsid w:val="00E3680A"/>
    <w:rsid w:val="00E46BED"/>
    <w:rsid w:val="00E46D40"/>
    <w:rsid w:val="00E54782"/>
    <w:rsid w:val="00E67C69"/>
    <w:rsid w:val="00E73604"/>
    <w:rsid w:val="00E74B11"/>
    <w:rsid w:val="00E75C24"/>
    <w:rsid w:val="00E91F6F"/>
    <w:rsid w:val="00E97823"/>
    <w:rsid w:val="00EA3234"/>
    <w:rsid w:val="00EA6B2B"/>
    <w:rsid w:val="00EB46FB"/>
    <w:rsid w:val="00EC46C1"/>
    <w:rsid w:val="00EE75B7"/>
    <w:rsid w:val="00EF7DA9"/>
    <w:rsid w:val="00F01608"/>
    <w:rsid w:val="00F12EFB"/>
    <w:rsid w:val="00F41F32"/>
    <w:rsid w:val="00F4412F"/>
    <w:rsid w:val="00F47E9C"/>
    <w:rsid w:val="00F52FE6"/>
    <w:rsid w:val="00F608E1"/>
    <w:rsid w:val="00F60D6C"/>
    <w:rsid w:val="00F814FB"/>
    <w:rsid w:val="00F90169"/>
    <w:rsid w:val="00F904DC"/>
    <w:rsid w:val="00F96156"/>
    <w:rsid w:val="00FA220E"/>
    <w:rsid w:val="00FA51C0"/>
    <w:rsid w:val="00FC2844"/>
    <w:rsid w:val="00FC533E"/>
    <w:rsid w:val="00FC626A"/>
    <w:rsid w:val="00FD1B75"/>
    <w:rsid w:val="00FD20E2"/>
    <w:rsid w:val="00FE3420"/>
    <w:rsid w:val="00FF2062"/>
    <w:rsid w:val="00FF6CD8"/>
    <w:rsid w:val="00FF7DCE"/>
    <w:rsid w:val="030C2AC0"/>
    <w:rsid w:val="036C7DFA"/>
    <w:rsid w:val="04B96704"/>
    <w:rsid w:val="0509609A"/>
    <w:rsid w:val="07327FB1"/>
    <w:rsid w:val="073565CF"/>
    <w:rsid w:val="07F155DC"/>
    <w:rsid w:val="095C04CE"/>
    <w:rsid w:val="09953D16"/>
    <w:rsid w:val="099D02A9"/>
    <w:rsid w:val="0A1D3F0B"/>
    <w:rsid w:val="0AC630BC"/>
    <w:rsid w:val="0CA1429F"/>
    <w:rsid w:val="0D093C57"/>
    <w:rsid w:val="0D48069D"/>
    <w:rsid w:val="0ED84D2A"/>
    <w:rsid w:val="0FDB2348"/>
    <w:rsid w:val="10E92ACE"/>
    <w:rsid w:val="11072ADA"/>
    <w:rsid w:val="110B3BE6"/>
    <w:rsid w:val="121A28A7"/>
    <w:rsid w:val="12924A0C"/>
    <w:rsid w:val="136B3963"/>
    <w:rsid w:val="13A12A3A"/>
    <w:rsid w:val="14F2158A"/>
    <w:rsid w:val="15EA786F"/>
    <w:rsid w:val="16B253F9"/>
    <w:rsid w:val="183F3B4A"/>
    <w:rsid w:val="1CAF2800"/>
    <w:rsid w:val="1D501DCC"/>
    <w:rsid w:val="1E706B73"/>
    <w:rsid w:val="1F045F3B"/>
    <w:rsid w:val="1F07720A"/>
    <w:rsid w:val="206B7FE6"/>
    <w:rsid w:val="208A250F"/>
    <w:rsid w:val="21385627"/>
    <w:rsid w:val="224D0103"/>
    <w:rsid w:val="22BF03BD"/>
    <w:rsid w:val="24365E59"/>
    <w:rsid w:val="24973F19"/>
    <w:rsid w:val="259844B6"/>
    <w:rsid w:val="25D55C8E"/>
    <w:rsid w:val="26AA090E"/>
    <w:rsid w:val="27CE7CB4"/>
    <w:rsid w:val="27DA1804"/>
    <w:rsid w:val="287B4B19"/>
    <w:rsid w:val="29ED0A2E"/>
    <w:rsid w:val="29EF1AFA"/>
    <w:rsid w:val="2A6F452A"/>
    <w:rsid w:val="2B5224D6"/>
    <w:rsid w:val="2B97126D"/>
    <w:rsid w:val="2D085D2B"/>
    <w:rsid w:val="2DDD47A0"/>
    <w:rsid w:val="2F5205D5"/>
    <w:rsid w:val="301845E5"/>
    <w:rsid w:val="30BA4E1D"/>
    <w:rsid w:val="30C84687"/>
    <w:rsid w:val="31332339"/>
    <w:rsid w:val="3261245E"/>
    <w:rsid w:val="344D535E"/>
    <w:rsid w:val="3517673A"/>
    <w:rsid w:val="36591ABC"/>
    <w:rsid w:val="36D17E90"/>
    <w:rsid w:val="36E36736"/>
    <w:rsid w:val="36F402F1"/>
    <w:rsid w:val="375B2356"/>
    <w:rsid w:val="378844AC"/>
    <w:rsid w:val="379D2DBB"/>
    <w:rsid w:val="37EF47C6"/>
    <w:rsid w:val="384F6495"/>
    <w:rsid w:val="389B56ED"/>
    <w:rsid w:val="38C9657F"/>
    <w:rsid w:val="39274625"/>
    <w:rsid w:val="3B945499"/>
    <w:rsid w:val="3D2F423E"/>
    <w:rsid w:val="3D46138B"/>
    <w:rsid w:val="3E216314"/>
    <w:rsid w:val="3E852B09"/>
    <w:rsid w:val="3E94424B"/>
    <w:rsid w:val="3EF92580"/>
    <w:rsid w:val="3F2B4006"/>
    <w:rsid w:val="40313BC9"/>
    <w:rsid w:val="407F311E"/>
    <w:rsid w:val="41533E51"/>
    <w:rsid w:val="41FF76D6"/>
    <w:rsid w:val="42604E84"/>
    <w:rsid w:val="430C1E42"/>
    <w:rsid w:val="432D6550"/>
    <w:rsid w:val="43BB58E5"/>
    <w:rsid w:val="4456197D"/>
    <w:rsid w:val="45F473B3"/>
    <w:rsid w:val="464949DA"/>
    <w:rsid w:val="46B226AF"/>
    <w:rsid w:val="46FD5C41"/>
    <w:rsid w:val="471C4752"/>
    <w:rsid w:val="472215CC"/>
    <w:rsid w:val="48CD287B"/>
    <w:rsid w:val="49311532"/>
    <w:rsid w:val="4A980280"/>
    <w:rsid w:val="4BE05D62"/>
    <w:rsid w:val="4CB25B24"/>
    <w:rsid w:val="4D202E40"/>
    <w:rsid w:val="4D9177D7"/>
    <w:rsid w:val="4E03550A"/>
    <w:rsid w:val="4E0D5076"/>
    <w:rsid w:val="4E757913"/>
    <w:rsid w:val="4FF55710"/>
    <w:rsid w:val="4FF7631A"/>
    <w:rsid w:val="50487183"/>
    <w:rsid w:val="505612AC"/>
    <w:rsid w:val="50C4240E"/>
    <w:rsid w:val="50CC78C3"/>
    <w:rsid w:val="51514632"/>
    <w:rsid w:val="518D54F8"/>
    <w:rsid w:val="524528C8"/>
    <w:rsid w:val="5359317A"/>
    <w:rsid w:val="55155C36"/>
    <w:rsid w:val="554E47A5"/>
    <w:rsid w:val="57E26D0A"/>
    <w:rsid w:val="58527D3E"/>
    <w:rsid w:val="5866094B"/>
    <w:rsid w:val="59E66B71"/>
    <w:rsid w:val="5C3C2736"/>
    <w:rsid w:val="5C520005"/>
    <w:rsid w:val="5D017965"/>
    <w:rsid w:val="5E872F3E"/>
    <w:rsid w:val="5FA32663"/>
    <w:rsid w:val="5FC14BB7"/>
    <w:rsid w:val="5FF362C7"/>
    <w:rsid w:val="607A4D66"/>
    <w:rsid w:val="60C37E2F"/>
    <w:rsid w:val="61941A44"/>
    <w:rsid w:val="61C23070"/>
    <w:rsid w:val="61CD26AF"/>
    <w:rsid w:val="63A21173"/>
    <w:rsid w:val="63E42D85"/>
    <w:rsid w:val="64C13026"/>
    <w:rsid w:val="64E76264"/>
    <w:rsid w:val="65657ADF"/>
    <w:rsid w:val="65F84618"/>
    <w:rsid w:val="66437B9F"/>
    <w:rsid w:val="67334704"/>
    <w:rsid w:val="67A75993"/>
    <w:rsid w:val="68D53315"/>
    <w:rsid w:val="692B3F09"/>
    <w:rsid w:val="6AEA25B9"/>
    <w:rsid w:val="6B9B1048"/>
    <w:rsid w:val="6C080DC2"/>
    <w:rsid w:val="6CEE1648"/>
    <w:rsid w:val="6F3379E6"/>
    <w:rsid w:val="6F597CAF"/>
    <w:rsid w:val="6FE179AE"/>
    <w:rsid w:val="71BC52D4"/>
    <w:rsid w:val="735A34D3"/>
    <w:rsid w:val="738379DB"/>
    <w:rsid w:val="73B1397B"/>
    <w:rsid w:val="741A3336"/>
    <w:rsid w:val="754A3219"/>
    <w:rsid w:val="767834E8"/>
    <w:rsid w:val="76DF4909"/>
    <w:rsid w:val="76F54618"/>
    <w:rsid w:val="77572783"/>
    <w:rsid w:val="77662ECA"/>
    <w:rsid w:val="779745CD"/>
    <w:rsid w:val="780247CB"/>
    <w:rsid w:val="78574142"/>
    <w:rsid w:val="796A4EF4"/>
    <w:rsid w:val="7C184FB7"/>
    <w:rsid w:val="7C54405B"/>
    <w:rsid w:val="7D475263"/>
    <w:rsid w:val="7D9A0A41"/>
    <w:rsid w:val="7E9E2C74"/>
    <w:rsid w:val="7FE56A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200" w:line="300" w:lineRule="auto"/>
    </w:pPr>
    <w:rPr>
      <w:rFonts w:ascii="Calibri" w:hAnsi="Calibri" w:eastAsia="宋体" w:cs="Times New Roman"/>
      <w:sz w:val="22"/>
      <w:szCs w:val="22"/>
      <w:lang w:val="en-US" w:eastAsia="en-US" w:bidi="ar-SA"/>
    </w:rPr>
  </w:style>
  <w:style w:type="paragraph" w:styleId="3">
    <w:name w:val="heading 1"/>
    <w:basedOn w:val="1"/>
    <w:next w:val="1"/>
    <w:link w:val="26"/>
    <w:qFormat/>
    <w:uiPriority w:val="9"/>
    <w:pPr>
      <w:keepNext/>
      <w:keepLines/>
      <w:spacing w:before="480" w:after="0"/>
      <w:outlineLvl w:val="0"/>
    </w:pPr>
    <w:rPr>
      <w:rFonts w:ascii="Cambria" w:hAnsi="Cambria"/>
      <w:b/>
      <w:bCs/>
      <w:color w:val="365F91"/>
      <w:sz w:val="28"/>
      <w:szCs w:val="28"/>
    </w:rPr>
  </w:style>
  <w:style w:type="paragraph" w:styleId="4">
    <w:name w:val="heading 2"/>
    <w:basedOn w:val="1"/>
    <w:next w:val="1"/>
    <w:link w:val="27"/>
    <w:qFormat/>
    <w:uiPriority w:val="9"/>
    <w:pPr>
      <w:keepNext/>
      <w:keepLines/>
      <w:spacing w:before="200" w:after="0"/>
      <w:outlineLvl w:val="1"/>
    </w:pPr>
    <w:rPr>
      <w:rFonts w:ascii="Cambria" w:hAnsi="Cambria"/>
      <w:b/>
      <w:bCs/>
      <w:color w:val="4F81BD"/>
      <w:sz w:val="26"/>
      <w:szCs w:val="26"/>
    </w:rPr>
  </w:style>
  <w:style w:type="paragraph" w:styleId="5">
    <w:name w:val="heading 3"/>
    <w:basedOn w:val="1"/>
    <w:next w:val="1"/>
    <w:link w:val="28"/>
    <w:qFormat/>
    <w:uiPriority w:val="9"/>
    <w:pPr>
      <w:keepNext/>
      <w:keepLines/>
      <w:spacing w:before="200" w:after="0"/>
      <w:outlineLvl w:val="2"/>
    </w:pPr>
    <w:rPr>
      <w:rFonts w:ascii="Cambria" w:hAnsi="Cambria"/>
      <w:b/>
      <w:bCs/>
      <w:color w:val="4F81BD"/>
      <w:sz w:val="20"/>
      <w:szCs w:val="20"/>
    </w:rPr>
  </w:style>
  <w:style w:type="paragraph" w:styleId="6">
    <w:name w:val="heading 4"/>
    <w:basedOn w:val="1"/>
    <w:next w:val="1"/>
    <w:link w:val="29"/>
    <w:qFormat/>
    <w:uiPriority w:val="9"/>
    <w:pPr>
      <w:keepNext/>
      <w:keepLines/>
      <w:spacing w:before="200" w:after="0"/>
      <w:outlineLvl w:val="3"/>
    </w:pPr>
    <w:rPr>
      <w:rFonts w:ascii="Cambria" w:hAnsi="Cambria"/>
      <w:b/>
      <w:bCs/>
      <w:i/>
      <w:iCs/>
      <w:color w:val="4F81BD"/>
      <w:sz w:val="20"/>
      <w:szCs w:val="20"/>
    </w:rPr>
  </w:style>
  <w:style w:type="paragraph" w:styleId="7">
    <w:name w:val="heading 5"/>
    <w:basedOn w:val="1"/>
    <w:next w:val="1"/>
    <w:link w:val="30"/>
    <w:qFormat/>
    <w:uiPriority w:val="9"/>
    <w:pPr>
      <w:keepNext/>
      <w:keepLines/>
      <w:spacing w:before="200" w:after="0"/>
      <w:outlineLvl w:val="4"/>
    </w:pPr>
    <w:rPr>
      <w:rFonts w:ascii="Cambria" w:hAnsi="Cambria"/>
      <w:color w:val="244061"/>
      <w:sz w:val="20"/>
      <w:szCs w:val="20"/>
    </w:rPr>
  </w:style>
  <w:style w:type="paragraph" w:styleId="8">
    <w:name w:val="heading 6"/>
    <w:basedOn w:val="1"/>
    <w:next w:val="1"/>
    <w:link w:val="31"/>
    <w:qFormat/>
    <w:uiPriority w:val="9"/>
    <w:pPr>
      <w:keepNext/>
      <w:keepLines/>
      <w:spacing w:before="200" w:after="0"/>
      <w:outlineLvl w:val="5"/>
    </w:pPr>
    <w:rPr>
      <w:rFonts w:ascii="Cambria" w:hAnsi="Cambria"/>
      <w:i/>
      <w:iCs/>
      <w:color w:val="244061"/>
      <w:sz w:val="20"/>
      <w:szCs w:val="20"/>
    </w:rPr>
  </w:style>
  <w:style w:type="paragraph" w:styleId="9">
    <w:name w:val="heading 7"/>
    <w:basedOn w:val="1"/>
    <w:next w:val="1"/>
    <w:link w:val="32"/>
    <w:qFormat/>
    <w:uiPriority w:val="9"/>
    <w:pPr>
      <w:keepNext/>
      <w:keepLines/>
      <w:spacing w:before="200" w:after="0"/>
      <w:outlineLvl w:val="6"/>
    </w:pPr>
    <w:rPr>
      <w:rFonts w:ascii="Cambria" w:hAnsi="Cambria"/>
      <w:i/>
      <w:iCs/>
      <w:color w:val="404040"/>
      <w:sz w:val="20"/>
      <w:szCs w:val="20"/>
    </w:rPr>
  </w:style>
  <w:style w:type="paragraph" w:styleId="10">
    <w:name w:val="heading 8"/>
    <w:basedOn w:val="1"/>
    <w:next w:val="1"/>
    <w:link w:val="33"/>
    <w:qFormat/>
    <w:uiPriority w:val="9"/>
    <w:pPr>
      <w:keepNext/>
      <w:keepLines/>
      <w:spacing w:before="200" w:after="0"/>
      <w:outlineLvl w:val="7"/>
    </w:pPr>
    <w:rPr>
      <w:rFonts w:ascii="Cambria" w:hAnsi="Cambria"/>
      <w:color w:val="4F81BD"/>
      <w:sz w:val="20"/>
      <w:szCs w:val="20"/>
    </w:rPr>
  </w:style>
  <w:style w:type="paragraph" w:styleId="11">
    <w:name w:val="heading 9"/>
    <w:basedOn w:val="1"/>
    <w:next w:val="1"/>
    <w:link w:val="34"/>
    <w:qFormat/>
    <w:uiPriority w:val="9"/>
    <w:pPr>
      <w:keepNext/>
      <w:keepLines/>
      <w:spacing w:before="200" w:after="0"/>
      <w:outlineLvl w:val="8"/>
    </w:pPr>
    <w:rPr>
      <w:rFonts w:ascii="Cambria" w:hAnsi="Cambria"/>
      <w:i/>
      <w:iCs/>
      <w:color w:val="404040"/>
      <w:sz w:val="20"/>
      <w:szCs w:val="20"/>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ind w:left="238"/>
    </w:pPr>
    <w:rPr>
      <w:rFonts w:ascii="宋体" w:hAnsi="宋体" w:cs="宋体"/>
      <w:sz w:val="24"/>
      <w:szCs w:val="24"/>
      <w:lang w:val="zh-CN" w:eastAsia="zh-CN" w:bidi="zh-CN"/>
    </w:rPr>
  </w:style>
  <w:style w:type="paragraph" w:styleId="12">
    <w:name w:val="caption"/>
    <w:basedOn w:val="1"/>
    <w:next w:val="1"/>
    <w:qFormat/>
    <w:uiPriority w:val="35"/>
    <w:pPr>
      <w:spacing w:line="240" w:lineRule="auto"/>
    </w:pPr>
    <w:rPr>
      <w:b/>
      <w:bCs/>
      <w:color w:val="4F81BD"/>
      <w:sz w:val="18"/>
      <w:szCs w:val="18"/>
    </w:rPr>
  </w:style>
  <w:style w:type="paragraph" w:styleId="13">
    <w:name w:val="annotation text"/>
    <w:basedOn w:val="1"/>
    <w:link w:val="35"/>
    <w:unhideWhenUsed/>
    <w:qFormat/>
    <w:uiPriority w:val="99"/>
  </w:style>
  <w:style w:type="paragraph" w:styleId="14">
    <w:name w:val="Balloon Text"/>
    <w:basedOn w:val="1"/>
    <w:link w:val="36"/>
    <w:unhideWhenUsed/>
    <w:qFormat/>
    <w:uiPriority w:val="99"/>
    <w:pPr>
      <w:spacing w:after="0" w:line="240" w:lineRule="auto"/>
    </w:pPr>
    <w:rPr>
      <w:sz w:val="18"/>
      <w:szCs w:val="18"/>
    </w:rPr>
  </w:style>
  <w:style w:type="paragraph" w:styleId="15">
    <w:name w:val="footer"/>
    <w:basedOn w:val="1"/>
    <w:link w:val="37"/>
    <w:unhideWhenUsed/>
    <w:qFormat/>
    <w:uiPriority w:val="99"/>
    <w:pPr>
      <w:tabs>
        <w:tab w:val="center" w:pos="4153"/>
        <w:tab w:val="right" w:pos="8306"/>
      </w:tabs>
      <w:snapToGrid w:val="0"/>
    </w:pPr>
    <w:rPr>
      <w:rFonts w:ascii="宋体" w:hAnsi="宋体" w:cs="宋体"/>
      <w:sz w:val="18"/>
      <w:szCs w:val="18"/>
      <w:lang w:val="zh-CN" w:eastAsia="zh-CN" w:bidi="zh-CN"/>
    </w:rPr>
  </w:style>
  <w:style w:type="paragraph" w:styleId="16">
    <w:name w:val="header"/>
    <w:basedOn w:val="1"/>
    <w:link w:val="38"/>
    <w:unhideWhenUsed/>
    <w:qFormat/>
    <w:uiPriority w:val="99"/>
    <w:pPr>
      <w:pBdr>
        <w:bottom w:val="single" w:color="auto" w:sz="6" w:space="1"/>
      </w:pBdr>
      <w:tabs>
        <w:tab w:val="center" w:pos="4153"/>
        <w:tab w:val="right" w:pos="8306"/>
      </w:tabs>
      <w:snapToGrid w:val="0"/>
      <w:jc w:val="center"/>
    </w:pPr>
    <w:rPr>
      <w:rFonts w:ascii="宋体" w:hAnsi="宋体" w:cs="宋体"/>
      <w:sz w:val="18"/>
      <w:szCs w:val="18"/>
      <w:lang w:val="zh-CN" w:eastAsia="zh-CN" w:bidi="zh-CN"/>
    </w:rPr>
  </w:style>
  <w:style w:type="paragraph" w:styleId="17">
    <w:name w:val="Subtitle"/>
    <w:basedOn w:val="1"/>
    <w:next w:val="1"/>
    <w:link w:val="39"/>
    <w:qFormat/>
    <w:uiPriority w:val="11"/>
    <w:rPr>
      <w:rFonts w:ascii="Cambria" w:hAnsi="Cambria"/>
      <w:i/>
      <w:iCs/>
      <w:color w:val="4F81BD"/>
      <w:spacing w:val="15"/>
      <w:sz w:val="24"/>
      <w:szCs w:val="24"/>
    </w:rPr>
  </w:style>
  <w:style w:type="paragraph" w:styleId="18">
    <w:name w:val="Title"/>
    <w:basedOn w:val="1"/>
    <w:next w:val="1"/>
    <w:link w:val="25"/>
    <w:qFormat/>
    <w:uiPriority w:val="10"/>
    <w:pPr>
      <w:pBdr>
        <w:bottom w:val="single" w:color="4F81BD" w:sz="8" w:space="4"/>
      </w:pBdr>
      <w:spacing w:after="300" w:line="240" w:lineRule="auto"/>
      <w:contextualSpacing/>
    </w:pPr>
    <w:rPr>
      <w:rFonts w:ascii="Cambria" w:hAnsi="Cambria"/>
      <w:color w:val="17365D"/>
      <w:spacing w:val="5"/>
      <w:kern w:val="28"/>
      <w:sz w:val="52"/>
      <w:szCs w:val="52"/>
    </w:rPr>
  </w:style>
  <w:style w:type="paragraph" w:styleId="19">
    <w:name w:val="annotation subject"/>
    <w:basedOn w:val="13"/>
    <w:next w:val="13"/>
    <w:link w:val="40"/>
    <w:unhideWhenUsed/>
    <w:qFormat/>
    <w:uiPriority w:val="99"/>
    <w:rPr>
      <w:b/>
      <w:bCs/>
    </w:rPr>
  </w:style>
  <w:style w:type="character" w:styleId="22">
    <w:name w:val="Strong"/>
    <w:qFormat/>
    <w:uiPriority w:val="22"/>
    <w:rPr>
      <w:b/>
      <w:bCs/>
    </w:rPr>
  </w:style>
  <w:style w:type="character" w:styleId="23">
    <w:name w:val="Emphasis"/>
    <w:qFormat/>
    <w:uiPriority w:val="20"/>
    <w:rPr>
      <w:i/>
      <w:iCs/>
    </w:rPr>
  </w:style>
  <w:style w:type="character" w:styleId="24">
    <w:name w:val="annotation reference"/>
    <w:basedOn w:val="21"/>
    <w:unhideWhenUsed/>
    <w:qFormat/>
    <w:uiPriority w:val="99"/>
    <w:rPr>
      <w:sz w:val="21"/>
      <w:szCs w:val="21"/>
    </w:rPr>
  </w:style>
  <w:style w:type="character" w:customStyle="1" w:styleId="25">
    <w:name w:val="标题 字符"/>
    <w:link w:val="18"/>
    <w:qFormat/>
    <w:uiPriority w:val="10"/>
    <w:rPr>
      <w:rFonts w:ascii="Cambria" w:hAnsi="Cambria" w:eastAsia="宋体" w:cs="Times New Roman"/>
      <w:color w:val="17365D"/>
      <w:spacing w:val="5"/>
      <w:kern w:val="28"/>
      <w:sz w:val="52"/>
      <w:szCs w:val="52"/>
    </w:rPr>
  </w:style>
  <w:style w:type="character" w:customStyle="1" w:styleId="26">
    <w:name w:val="标题 1 字符"/>
    <w:link w:val="3"/>
    <w:qFormat/>
    <w:uiPriority w:val="9"/>
    <w:rPr>
      <w:rFonts w:ascii="Cambria" w:hAnsi="Cambria" w:eastAsia="宋体" w:cs="Times New Roman"/>
      <w:b/>
      <w:bCs/>
      <w:color w:val="365F91"/>
      <w:sz w:val="28"/>
      <w:szCs w:val="28"/>
    </w:rPr>
  </w:style>
  <w:style w:type="character" w:customStyle="1" w:styleId="27">
    <w:name w:val="标题 2 字符"/>
    <w:link w:val="4"/>
    <w:qFormat/>
    <w:uiPriority w:val="9"/>
    <w:rPr>
      <w:rFonts w:ascii="Cambria" w:hAnsi="Cambria" w:eastAsia="宋体" w:cs="Times New Roman"/>
      <w:b/>
      <w:bCs/>
      <w:color w:val="4F81BD"/>
      <w:sz w:val="26"/>
      <w:szCs w:val="26"/>
    </w:rPr>
  </w:style>
  <w:style w:type="character" w:customStyle="1" w:styleId="28">
    <w:name w:val="标题 3 字符"/>
    <w:link w:val="5"/>
    <w:qFormat/>
    <w:uiPriority w:val="9"/>
    <w:rPr>
      <w:rFonts w:ascii="Cambria" w:hAnsi="Cambria" w:eastAsia="宋体" w:cs="Times New Roman"/>
      <w:b/>
      <w:bCs/>
      <w:color w:val="4F81BD"/>
    </w:rPr>
  </w:style>
  <w:style w:type="character" w:customStyle="1" w:styleId="29">
    <w:name w:val="标题 4 字符"/>
    <w:link w:val="6"/>
    <w:semiHidden/>
    <w:qFormat/>
    <w:uiPriority w:val="9"/>
    <w:rPr>
      <w:rFonts w:ascii="Cambria" w:hAnsi="Cambria" w:eastAsia="宋体" w:cs="Times New Roman"/>
      <w:b/>
      <w:bCs/>
      <w:i/>
      <w:iCs/>
      <w:color w:val="4F81BD"/>
    </w:rPr>
  </w:style>
  <w:style w:type="character" w:customStyle="1" w:styleId="30">
    <w:name w:val="标题 5 字符"/>
    <w:link w:val="7"/>
    <w:semiHidden/>
    <w:qFormat/>
    <w:uiPriority w:val="9"/>
    <w:rPr>
      <w:rFonts w:ascii="Cambria" w:hAnsi="Cambria" w:eastAsia="宋体" w:cs="Times New Roman"/>
      <w:color w:val="244061"/>
    </w:rPr>
  </w:style>
  <w:style w:type="character" w:customStyle="1" w:styleId="31">
    <w:name w:val="标题 6 字符"/>
    <w:link w:val="8"/>
    <w:semiHidden/>
    <w:qFormat/>
    <w:uiPriority w:val="9"/>
    <w:rPr>
      <w:rFonts w:ascii="Cambria" w:hAnsi="Cambria" w:eastAsia="宋体" w:cs="Times New Roman"/>
      <w:i/>
      <w:iCs/>
      <w:color w:val="244061"/>
    </w:rPr>
  </w:style>
  <w:style w:type="character" w:customStyle="1" w:styleId="32">
    <w:name w:val="标题 7 字符"/>
    <w:link w:val="9"/>
    <w:semiHidden/>
    <w:qFormat/>
    <w:uiPriority w:val="9"/>
    <w:rPr>
      <w:rFonts w:ascii="Cambria" w:hAnsi="Cambria" w:eastAsia="宋体" w:cs="Times New Roman"/>
      <w:i/>
      <w:iCs/>
      <w:color w:val="404040"/>
    </w:rPr>
  </w:style>
  <w:style w:type="character" w:customStyle="1" w:styleId="33">
    <w:name w:val="标题 8 字符"/>
    <w:link w:val="10"/>
    <w:semiHidden/>
    <w:qFormat/>
    <w:uiPriority w:val="9"/>
    <w:rPr>
      <w:rFonts w:ascii="Cambria" w:hAnsi="Cambria" w:eastAsia="宋体" w:cs="Times New Roman"/>
      <w:color w:val="4F81BD"/>
      <w:sz w:val="20"/>
      <w:szCs w:val="20"/>
    </w:rPr>
  </w:style>
  <w:style w:type="character" w:customStyle="1" w:styleId="34">
    <w:name w:val="标题 9 字符"/>
    <w:link w:val="11"/>
    <w:semiHidden/>
    <w:qFormat/>
    <w:uiPriority w:val="9"/>
    <w:rPr>
      <w:rFonts w:ascii="Cambria" w:hAnsi="Cambria" w:eastAsia="宋体" w:cs="Times New Roman"/>
      <w:i/>
      <w:iCs/>
      <w:color w:val="404040"/>
      <w:sz w:val="20"/>
      <w:szCs w:val="20"/>
    </w:rPr>
  </w:style>
  <w:style w:type="character" w:customStyle="1" w:styleId="35">
    <w:name w:val="批注文字 字符"/>
    <w:basedOn w:val="21"/>
    <w:link w:val="13"/>
    <w:semiHidden/>
    <w:qFormat/>
    <w:uiPriority w:val="99"/>
    <w:rPr>
      <w:sz w:val="22"/>
      <w:szCs w:val="22"/>
      <w:lang w:eastAsia="en-US"/>
    </w:rPr>
  </w:style>
  <w:style w:type="character" w:customStyle="1" w:styleId="36">
    <w:name w:val="批注框文本 字符"/>
    <w:link w:val="14"/>
    <w:semiHidden/>
    <w:qFormat/>
    <w:uiPriority w:val="99"/>
    <w:rPr>
      <w:sz w:val="18"/>
      <w:szCs w:val="18"/>
      <w:lang w:eastAsia="en-US"/>
    </w:rPr>
  </w:style>
  <w:style w:type="character" w:customStyle="1" w:styleId="37">
    <w:name w:val="页脚 字符"/>
    <w:link w:val="15"/>
    <w:qFormat/>
    <w:uiPriority w:val="99"/>
    <w:rPr>
      <w:rFonts w:ascii="宋体" w:hAnsi="宋体" w:eastAsia="宋体" w:cs="宋体"/>
      <w:sz w:val="18"/>
      <w:szCs w:val="18"/>
      <w:lang w:val="zh-CN" w:eastAsia="zh-CN" w:bidi="zh-CN"/>
    </w:rPr>
  </w:style>
  <w:style w:type="character" w:customStyle="1" w:styleId="38">
    <w:name w:val="页眉 字符"/>
    <w:link w:val="16"/>
    <w:qFormat/>
    <w:uiPriority w:val="99"/>
    <w:rPr>
      <w:rFonts w:ascii="宋体" w:hAnsi="宋体" w:eastAsia="宋体" w:cs="宋体"/>
      <w:sz w:val="18"/>
      <w:szCs w:val="18"/>
      <w:lang w:val="zh-CN" w:eastAsia="zh-CN" w:bidi="zh-CN"/>
    </w:rPr>
  </w:style>
  <w:style w:type="character" w:customStyle="1" w:styleId="39">
    <w:name w:val="副标题 字符"/>
    <w:link w:val="17"/>
    <w:qFormat/>
    <w:uiPriority w:val="11"/>
    <w:rPr>
      <w:rFonts w:ascii="Cambria" w:hAnsi="Cambria" w:eastAsia="宋体" w:cs="Times New Roman"/>
      <w:i/>
      <w:iCs/>
      <w:color w:val="4F81BD"/>
      <w:spacing w:val="15"/>
      <w:sz w:val="24"/>
      <w:szCs w:val="24"/>
    </w:rPr>
  </w:style>
  <w:style w:type="character" w:customStyle="1" w:styleId="40">
    <w:name w:val="批注主题 字符"/>
    <w:basedOn w:val="35"/>
    <w:link w:val="19"/>
    <w:semiHidden/>
    <w:qFormat/>
    <w:uiPriority w:val="99"/>
    <w:rPr>
      <w:b/>
      <w:bCs/>
      <w:sz w:val="22"/>
      <w:szCs w:val="22"/>
      <w:lang w:eastAsia="en-US"/>
    </w:rPr>
  </w:style>
  <w:style w:type="character" w:customStyle="1" w:styleId="41">
    <w:name w:val="书籍标题1"/>
    <w:qFormat/>
    <w:uiPriority w:val="33"/>
    <w:rPr>
      <w:b/>
      <w:bCs/>
      <w:smallCaps/>
      <w:spacing w:val="5"/>
    </w:rPr>
  </w:style>
  <w:style w:type="character" w:customStyle="1" w:styleId="42">
    <w:name w:val="不明显强调1"/>
    <w:qFormat/>
    <w:uiPriority w:val="19"/>
    <w:rPr>
      <w:i/>
      <w:iCs/>
      <w:color w:val="7F7F7F"/>
    </w:rPr>
  </w:style>
  <w:style w:type="character" w:customStyle="1" w:styleId="43">
    <w:name w:val="引用 字符"/>
    <w:link w:val="44"/>
    <w:qFormat/>
    <w:uiPriority w:val="29"/>
    <w:rPr>
      <w:i/>
      <w:iCs/>
      <w:color w:val="000000"/>
    </w:rPr>
  </w:style>
  <w:style w:type="paragraph" w:styleId="44">
    <w:name w:val="Quote"/>
    <w:basedOn w:val="1"/>
    <w:next w:val="1"/>
    <w:link w:val="43"/>
    <w:qFormat/>
    <w:uiPriority w:val="29"/>
    <w:rPr>
      <w:i/>
      <w:iCs/>
      <w:color w:val="000000"/>
      <w:sz w:val="20"/>
      <w:szCs w:val="20"/>
    </w:rPr>
  </w:style>
  <w:style w:type="character" w:customStyle="1" w:styleId="45">
    <w:name w:val="明显引用 字符"/>
    <w:link w:val="46"/>
    <w:qFormat/>
    <w:uiPriority w:val="30"/>
    <w:rPr>
      <w:b/>
      <w:bCs/>
      <w:i/>
      <w:iCs/>
      <w:color w:val="4F81BD"/>
    </w:rPr>
  </w:style>
  <w:style w:type="paragraph" w:styleId="46">
    <w:name w:val="Intense Quote"/>
    <w:basedOn w:val="1"/>
    <w:next w:val="1"/>
    <w:link w:val="45"/>
    <w:qFormat/>
    <w:uiPriority w:val="30"/>
    <w:pPr>
      <w:pBdr>
        <w:bottom w:val="single" w:color="4F81BD" w:sz="4" w:space="4"/>
      </w:pBdr>
      <w:spacing w:before="200" w:after="280"/>
      <w:ind w:left="936" w:right="936"/>
    </w:pPr>
    <w:rPr>
      <w:b/>
      <w:bCs/>
      <w:i/>
      <w:iCs/>
      <w:color w:val="4F81BD"/>
      <w:sz w:val="20"/>
      <w:szCs w:val="20"/>
    </w:rPr>
  </w:style>
  <w:style w:type="character" w:customStyle="1" w:styleId="47">
    <w:name w:val="样式002 Char"/>
    <w:link w:val="48"/>
    <w:qFormat/>
    <w:uiPriority w:val="0"/>
    <w:rPr>
      <w:rFonts w:ascii="仿宋" w:hAnsi="仿宋" w:eastAsia="仿宋"/>
      <w:b/>
      <w:bCs/>
      <w:iCs/>
      <w:sz w:val="32"/>
      <w:szCs w:val="32"/>
    </w:rPr>
  </w:style>
  <w:style w:type="paragraph" w:customStyle="1" w:styleId="48">
    <w:name w:val="样式002"/>
    <w:basedOn w:val="4"/>
    <w:link w:val="47"/>
    <w:qFormat/>
    <w:uiPriority w:val="0"/>
    <w:pPr>
      <w:keepLines w:val="0"/>
      <w:spacing w:before="240" w:after="60" w:line="240" w:lineRule="auto"/>
      <w:ind w:firstLine="640" w:firstLineChars="200"/>
    </w:pPr>
    <w:rPr>
      <w:rFonts w:ascii="仿宋" w:hAnsi="仿宋" w:eastAsia="仿宋"/>
      <w:iCs/>
      <w:color w:val="auto"/>
      <w:sz w:val="32"/>
      <w:szCs w:val="32"/>
    </w:rPr>
  </w:style>
  <w:style w:type="character" w:customStyle="1" w:styleId="49">
    <w:name w:val="明显参考1"/>
    <w:qFormat/>
    <w:uiPriority w:val="32"/>
    <w:rPr>
      <w:b/>
      <w:bCs/>
      <w:smallCaps/>
      <w:color w:val="C0504D"/>
      <w:spacing w:val="5"/>
      <w:u w:val="single"/>
    </w:rPr>
  </w:style>
  <w:style w:type="character" w:customStyle="1" w:styleId="50">
    <w:name w:val="font81"/>
    <w:qFormat/>
    <w:uiPriority w:val="0"/>
    <w:rPr>
      <w:rFonts w:hint="eastAsia" w:ascii="宋体" w:hAnsi="宋体" w:eastAsia="宋体" w:cs="宋体"/>
      <w:b/>
      <w:color w:val="000000"/>
      <w:sz w:val="28"/>
      <w:szCs w:val="28"/>
      <w:u w:val="none"/>
    </w:rPr>
  </w:style>
  <w:style w:type="character" w:customStyle="1" w:styleId="51">
    <w:name w:val="无间隔 字符"/>
    <w:link w:val="52"/>
    <w:qFormat/>
    <w:uiPriority w:val="1"/>
    <w:rPr>
      <w:sz w:val="22"/>
      <w:szCs w:val="22"/>
      <w:lang w:val="en-US" w:eastAsia="en-US" w:bidi="ar-SA"/>
    </w:rPr>
  </w:style>
  <w:style w:type="paragraph" w:styleId="52">
    <w:name w:val="No Spacing"/>
    <w:link w:val="51"/>
    <w:qFormat/>
    <w:uiPriority w:val="1"/>
    <w:rPr>
      <w:rFonts w:ascii="Calibri" w:hAnsi="Calibri" w:eastAsia="宋体" w:cs="Times New Roman"/>
      <w:sz w:val="22"/>
      <w:szCs w:val="22"/>
      <w:lang w:val="en-US" w:eastAsia="en-US" w:bidi="ar-SA"/>
    </w:rPr>
  </w:style>
  <w:style w:type="character" w:customStyle="1" w:styleId="53">
    <w:name w:val="明显强调1"/>
    <w:qFormat/>
    <w:uiPriority w:val="21"/>
    <w:rPr>
      <w:b/>
      <w:bCs/>
      <w:i/>
      <w:iCs/>
      <w:color w:val="4F81BD"/>
    </w:rPr>
  </w:style>
  <w:style w:type="character" w:customStyle="1" w:styleId="54">
    <w:name w:val="font121"/>
    <w:qFormat/>
    <w:uiPriority w:val="0"/>
    <w:rPr>
      <w:rFonts w:hint="eastAsia" w:ascii="宋体" w:hAnsi="宋体" w:eastAsia="宋体" w:cs="宋体"/>
      <w:b/>
      <w:color w:val="000000"/>
      <w:sz w:val="28"/>
      <w:szCs w:val="28"/>
      <w:u w:val="single"/>
    </w:rPr>
  </w:style>
  <w:style w:type="character" w:customStyle="1" w:styleId="55">
    <w:name w:val="不明显参考1"/>
    <w:qFormat/>
    <w:uiPriority w:val="31"/>
    <w:rPr>
      <w:smallCaps/>
      <w:color w:val="C0504D"/>
      <w:u w:val="single"/>
    </w:rPr>
  </w:style>
  <w:style w:type="paragraph" w:customStyle="1" w:styleId="56">
    <w:name w:val="修订1"/>
    <w:semiHidden/>
    <w:qFormat/>
    <w:uiPriority w:val="99"/>
    <w:rPr>
      <w:rFonts w:ascii="Calibri" w:hAnsi="Calibri" w:eastAsia="宋体" w:cs="Times New Roman"/>
      <w:sz w:val="22"/>
      <w:szCs w:val="22"/>
      <w:lang w:val="en-US" w:eastAsia="en-US" w:bidi="ar-SA"/>
    </w:rPr>
  </w:style>
  <w:style w:type="paragraph" w:customStyle="1" w:styleId="57">
    <w:name w:val="_Style 56"/>
    <w:semiHidden/>
    <w:qFormat/>
    <w:uiPriority w:val="99"/>
    <w:rPr>
      <w:rFonts w:ascii="Calibri" w:hAnsi="Calibri" w:eastAsia="宋体" w:cs="Times New Roman"/>
      <w:sz w:val="22"/>
      <w:szCs w:val="22"/>
      <w:lang w:val="en-US" w:eastAsia="en-US" w:bidi="ar-SA"/>
    </w:rPr>
  </w:style>
  <w:style w:type="paragraph" w:customStyle="1" w:styleId="58">
    <w:name w:val="正文1"/>
    <w:qFormat/>
    <w:uiPriority w:val="0"/>
    <w:pPr>
      <w:jc w:val="both"/>
    </w:pPr>
    <w:rPr>
      <w:rFonts w:ascii="Times New Roman" w:hAnsi="Times New Roman" w:eastAsia="宋体" w:cs="Times New Roman"/>
      <w:kern w:val="2"/>
      <w:sz w:val="21"/>
      <w:szCs w:val="21"/>
      <w:lang w:val="en-US" w:eastAsia="zh-CN" w:bidi="ar-SA"/>
    </w:rPr>
  </w:style>
  <w:style w:type="paragraph" w:styleId="59">
    <w:name w:val="List Paragraph"/>
    <w:basedOn w:val="1"/>
    <w:qFormat/>
    <w:uiPriority w:val="34"/>
    <w:pPr>
      <w:ind w:left="720"/>
      <w:contextualSpacing/>
    </w:pPr>
  </w:style>
  <w:style w:type="paragraph" w:customStyle="1" w:styleId="60">
    <w:name w:val="TOC 标题1"/>
    <w:basedOn w:val="3"/>
    <w:next w:val="1"/>
    <w:unhideWhenUsed/>
    <w:qFormat/>
    <w:uiPriority w:val="39"/>
    <w:pPr>
      <w:outlineLvl w:val="9"/>
    </w:pPr>
  </w:style>
  <w:style w:type="paragraph" w:customStyle="1" w:styleId="61">
    <w:name w:val="Table Paragraph"/>
    <w:basedOn w:val="1"/>
    <w:qFormat/>
    <w:uiPriority w:val="1"/>
    <w:rPr>
      <w:rFonts w:ascii="宋体" w:hAnsi="宋体" w:cs="宋体"/>
      <w:lang w:val="zh-CN" w:eastAsia="zh-CN" w:bidi="zh-CN"/>
    </w:rPr>
  </w:style>
  <w:style w:type="table" w:customStyle="1" w:styleId="62">
    <w:name w:val="Table Normal"/>
    <w:unhideWhenUsed/>
    <w:qFormat/>
    <w:uiPriority w:val="2"/>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44</Pages>
  <Words>3775</Words>
  <Characters>21518</Characters>
  <Lines>179</Lines>
  <Paragraphs>50</Paragraphs>
  <TotalTime>0</TotalTime>
  <ScaleCrop>false</ScaleCrop>
  <LinksUpToDate>false</LinksUpToDate>
  <CharactersWithSpaces>25243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2022-03-14T03:11:00Z</dcterms:created>
  <dc:creator>Administrator</dc:creator>
  <cp:lastModifiedBy>小胖</cp:lastModifiedBy>
  <cp:lastPrinted>2020-10-19T03:32:00Z</cp:lastPrinted>
  <dcterms:modified xsi:type="dcterms:W3CDTF">2022-03-30T15:12:03Z</dcterms:modified>
  <dc:title>甲方：深圳市防洪设施管理处</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2019-05-15T08:00:00Z</vt:filetime>
  </property>
  <property fmtid="{D5CDD505-2E9C-101B-9397-08002B2CF9AE}" pid="3" name="Creator">
    <vt:lpwstr>Microsoft® Office Word 2007</vt:lpwstr>
  </property>
  <property fmtid="{D5CDD505-2E9C-101B-9397-08002B2CF9AE}" pid="4" name="LastSaved">
    <vt:filetime>2019-06-26T08:00:00Z</vt:filetime>
  </property>
  <property fmtid="{D5CDD505-2E9C-101B-9397-08002B2CF9AE}" pid="5" name="KSOProductBuildVer">
    <vt:lpwstr>2052-11.1.0.11365</vt:lpwstr>
  </property>
  <property fmtid="{D5CDD505-2E9C-101B-9397-08002B2CF9AE}" pid="6" name="ICV">
    <vt:lpwstr>53C8160A5770481B834C88474087F0DE</vt:lpwstr>
  </property>
</Properties>
</file>